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0BF4" w14:textId="33D217C0" w:rsidR="783CD2CE" w:rsidRDefault="006F1C54" w:rsidP="00175A39">
      <w:pPr>
        <w:spacing w:after="240" w:line="240" w:lineRule="auto"/>
        <w:jc w:val="center"/>
        <w:rPr>
          <w:b/>
          <w:bCs/>
          <w:sz w:val="28"/>
          <w:szCs w:val="28"/>
        </w:rPr>
      </w:pPr>
      <w:r w:rsidRPr="35ED52CB">
        <w:rPr>
          <w:b/>
          <w:bCs/>
          <w:sz w:val="28"/>
          <w:szCs w:val="28"/>
        </w:rPr>
        <w:t>Data Analysis of All Curriculum CTE Students by Performance Indicator</w:t>
      </w:r>
      <w:r w:rsidR="007248C3">
        <w:rPr>
          <w:b/>
          <w:bCs/>
          <w:sz w:val="28"/>
          <w:szCs w:val="28"/>
        </w:rPr>
        <w:br/>
      </w:r>
      <w:r w:rsidR="783CD2CE" w:rsidRPr="35ED52CB">
        <w:rPr>
          <w:b/>
          <w:bCs/>
          <w:sz w:val="28"/>
          <w:szCs w:val="28"/>
        </w:rPr>
        <w:t>Directions</w:t>
      </w:r>
    </w:p>
    <w:p w14:paraId="20121854" w14:textId="77777777" w:rsidR="006F1C54" w:rsidRPr="009A01BA" w:rsidRDefault="006F1C54" w:rsidP="00175A39">
      <w:pPr>
        <w:spacing w:after="240" w:line="240" w:lineRule="auto"/>
        <w:rPr>
          <w:rFonts w:cstheme="minorHAnsi"/>
          <w:b/>
          <w:bCs/>
          <w:u w:val="single"/>
        </w:rPr>
      </w:pPr>
      <w:r w:rsidRPr="009A01BA">
        <w:rPr>
          <w:rFonts w:cstheme="minorHAnsi"/>
          <w:b/>
          <w:bCs/>
          <w:u w:val="single"/>
        </w:rPr>
        <w:t>Overview:</w:t>
      </w:r>
    </w:p>
    <w:p w14:paraId="2810C8D5" w14:textId="7A8647CB" w:rsidR="006F1C54" w:rsidRPr="009A01BA" w:rsidRDefault="006F1C54" w:rsidP="00175A39">
      <w:pPr>
        <w:spacing w:after="240" w:line="240" w:lineRule="auto"/>
      </w:pPr>
      <w:r w:rsidRPr="2075C42D">
        <w:t>Per Perkins V section 134(c)(2)(A) the Comprehensive Local Needs Assessment must include</w:t>
      </w:r>
      <w:r w:rsidR="6C02700B" w:rsidRPr="2075C42D">
        <w:t>:</w:t>
      </w:r>
      <w:r w:rsidRPr="2075C42D">
        <w:t xml:space="preserve"> </w:t>
      </w:r>
    </w:p>
    <w:p w14:paraId="32493EA1" w14:textId="15B14BE6" w:rsidR="006F1C54" w:rsidRPr="009A01BA" w:rsidRDefault="006F1C54" w:rsidP="00175A39">
      <w:pPr>
        <w:spacing w:after="240" w:line="240" w:lineRule="auto"/>
        <w:ind w:left="720"/>
        <w:rPr>
          <w:rFonts w:cstheme="minorHAnsi"/>
        </w:rPr>
      </w:pPr>
      <w:r w:rsidRPr="009A01BA">
        <w:rPr>
          <w:rFonts w:cstheme="minorHAnsi"/>
        </w:rPr>
        <w:t>“An evaluation of the performance of the students served by the [community colleges]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14:paraId="4DB97C76" w14:textId="0FA0A488" w:rsidR="006F1C54" w:rsidRDefault="009A01BA" w:rsidP="00175A39">
      <w:pPr>
        <w:spacing w:after="240" w:line="240" w:lineRule="auto"/>
      </w:pPr>
      <w:r w:rsidRPr="35ED52CB">
        <w:t>NCCCS has begun collecting</w:t>
      </w:r>
      <w:r>
        <w:t xml:space="preserve"> </w:t>
      </w:r>
      <w:r w:rsidR="72279DD8">
        <w:t>statewide</w:t>
      </w:r>
      <w:r w:rsidRPr="35ED52CB">
        <w:t xml:space="preserve"> data for each special population, but not all have been collected for long enough to create data for </w:t>
      </w:r>
      <w:r w:rsidR="7391ADE2" w:rsidRPr="35ED52CB">
        <w:t>analysis</w:t>
      </w:r>
      <w:r w:rsidRPr="35ED52CB">
        <w:t xml:space="preserve">. To date, the data includes students with disabilities, students who are </w:t>
      </w:r>
      <w:proofErr w:type="gramStart"/>
      <w:r w:rsidRPr="35ED52CB">
        <w:t>economically disadvantaged</w:t>
      </w:r>
      <w:proofErr w:type="gramEnd"/>
      <w:r w:rsidRPr="35ED52CB">
        <w:t>, students who identify as a minority race or ethnicity, and students in nontraditional field programs. (</w:t>
      </w:r>
      <w:proofErr w:type="gramStart"/>
      <w:r w:rsidRPr="35ED52CB">
        <w:t>see</w:t>
      </w:r>
      <w:proofErr w:type="gramEnd"/>
      <w:r w:rsidRPr="35ED52CB">
        <w:t xml:space="preserve"> definitions below for each category). As more data is received, more fields will be included in th</w:t>
      </w:r>
      <w:r w:rsidR="5E7114CC" w:rsidRPr="35ED52CB">
        <w:t>ese charts</w:t>
      </w:r>
      <w:r w:rsidRPr="35ED52CB">
        <w:t xml:space="preserve">. </w:t>
      </w:r>
    </w:p>
    <w:p w14:paraId="71250470" w14:textId="0AA83DC0" w:rsidR="003F1D6A" w:rsidRPr="009A01BA" w:rsidRDefault="14762FC1" w:rsidP="003F1D6A">
      <w:pPr>
        <w:spacing w:after="240" w:line="240" w:lineRule="auto"/>
      </w:pPr>
      <w:r w:rsidRPr="35ED52CB">
        <w:t xml:space="preserve">Charts have been developed for each college </w:t>
      </w:r>
      <w:r w:rsidR="2A14E4C1">
        <w:t>using</w:t>
      </w:r>
      <w:r>
        <w:t xml:space="preserve"> current</w:t>
      </w:r>
      <w:r w:rsidR="570F90F9">
        <w:t>,</w:t>
      </w:r>
      <w:r w:rsidRPr="35ED52CB">
        <w:t xml:space="preserve"> available data</w:t>
      </w:r>
      <w:r>
        <w:t>.</w:t>
      </w:r>
      <w:r w:rsidRPr="35ED52CB">
        <w:t xml:space="preserve"> </w:t>
      </w:r>
      <w:r w:rsidR="003F1D6A" w:rsidRPr="75A45EB5">
        <w:t>For some categories on the graph</w:t>
      </w:r>
      <w:r w:rsidR="5BDF36A2">
        <w:t>,</w:t>
      </w:r>
      <w:r w:rsidR="003F1D6A" w:rsidRPr="75A45EB5">
        <w:t xml:space="preserve"> there</w:t>
      </w:r>
      <w:r w:rsidR="003F1D6A">
        <w:t xml:space="preserve"> is no </w:t>
      </w:r>
      <w:r w:rsidR="33ED98C8">
        <w:t xml:space="preserve">statewide </w:t>
      </w:r>
      <w:r w:rsidR="003F1D6A">
        <w:t xml:space="preserve">data. It may be possible to obtain the data from your Institutional Research office. Since this is an internal review, low numbers may still be useful to your analysis. However, this data is not available from the </w:t>
      </w:r>
      <w:r w:rsidR="3F155AA8">
        <w:t xml:space="preserve">state-level public </w:t>
      </w:r>
      <w:r w:rsidR="003F1D6A">
        <w:t>dashboards. Specifically:</w:t>
      </w:r>
    </w:p>
    <w:p w14:paraId="342825F6" w14:textId="6C36B578" w:rsidR="003F1D6A" w:rsidRPr="009A01BA" w:rsidRDefault="003F1D6A" w:rsidP="2075C42D">
      <w:pPr>
        <w:pStyle w:val="ListParagraph"/>
        <w:numPr>
          <w:ilvl w:val="0"/>
          <w:numId w:val="3"/>
        </w:numPr>
        <w:spacing w:after="240"/>
      </w:pPr>
      <w:r w:rsidRPr="75A45EB5">
        <w:t>If there is an asterisk</w:t>
      </w:r>
      <w:r>
        <w:t xml:space="preserve"> (*)</w:t>
      </w:r>
      <w:r w:rsidRPr="75A45EB5">
        <w:t xml:space="preserve"> next to a race</w:t>
      </w:r>
      <w:r>
        <w:t xml:space="preserve">, ethnicity, or </w:t>
      </w:r>
      <w:r w:rsidRPr="75A45EB5">
        <w:t>gender</w:t>
      </w:r>
      <w:r>
        <w:t>,</w:t>
      </w:r>
      <w:r w:rsidRPr="75A45EB5">
        <w:t xml:space="preserve"> then </w:t>
      </w:r>
      <w:r>
        <w:t>the</w:t>
      </w:r>
      <w:r w:rsidR="696A1CE6">
        <w:t>re are fewer</w:t>
      </w:r>
      <w:r w:rsidRPr="75A45EB5">
        <w:t xml:space="preserve"> than 20 students</w:t>
      </w:r>
      <w:r>
        <w:t xml:space="preserve"> </w:t>
      </w:r>
      <w:r w:rsidR="274E433B">
        <w:t xml:space="preserve">in the data </w:t>
      </w:r>
      <w:r>
        <w:t>and</w:t>
      </w:r>
      <w:r w:rsidRPr="75A45EB5">
        <w:t xml:space="preserve"> the data is suppressed</w:t>
      </w:r>
      <w:r>
        <w:t xml:space="preserve"> on the </w:t>
      </w:r>
      <w:r w:rsidR="1C52C4B7">
        <w:t xml:space="preserve">state-level public </w:t>
      </w:r>
      <w:r>
        <w:t xml:space="preserve">dashboards. </w:t>
      </w:r>
    </w:p>
    <w:p w14:paraId="03453027" w14:textId="60AD6DF1" w:rsidR="003F1D6A" w:rsidRDefault="003F1D6A" w:rsidP="07C2300E">
      <w:pPr>
        <w:pStyle w:val="ListParagraph"/>
        <w:numPr>
          <w:ilvl w:val="0"/>
          <w:numId w:val="3"/>
        </w:numPr>
        <w:spacing w:after="240"/>
      </w:pPr>
      <w:r w:rsidRPr="75A45EB5">
        <w:t xml:space="preserve">Data for </w:t>
      </w:r>
      <w:r w:rsidR="7342D0F9">
        <w:t>s</w:t>
      </w:r>
      <w:r>
        <w:t xml:space="preserve">ingle </w:t>
      </w:r>
      <w:r w:rsidR="554E09B7">
        <w:t>p</w:t>
      </w:r>
      <w:r>
        <w:t>arent</w:t>
      </w:r>
      <w:r w:rsidRPr="75A45EB5">
        <w:t xml:space="preserve">/pregnant women, </w:t>
      </w:r>
      <w:r w:rsidR="5D28D759">
        <w:t>o</w:t>
      </w:r>
      <w:r>
        <w:t>ut</w:t>
      </w:r>
      <w:r w:rsidRPr="75A45EB5">
        <w:t xml:space="preserve"> of </w:t>
      </w:r>
      <w:r w:rsidR="0EBBAB53">
        <w:t>w</w:t>
      </w:r>
      <w:r>
        <w:t>orkforce</w:t>
      </w:r>
      <w:r w:rsidRPr="75A45EB5">
        <w:t xml:space="preserve">, and English </w:t>
      </w:r>
      <w:r w:rsidR="12E9B07A">
        <w:t>l</w:t>
      </w:r>
      <w:r>
        <w:t>earners</w:t>
      </w:r>
      <w:r w:rsidRPr="75A45EB5">
        <w:t xml:space="preserve"> are not currently collected</w:t>
      </w:r>
      <w:r>
        <w:t xml:space="preserve"> in </w:t>
      </w:r>
      <w:r w:rsidR="0B5B49A2">
        <w:t>C</w:t>
      </w:r>
      <w:r>
        <w:t>olleague.</w:t>
      </w:r>
    </w:p>
    <w:p w14:paraId="527DCA91" w14:textId="348D5EC6" w:rsidR="0E142C32" w:rsidRDefault="0E142C32" w:rsidP="07C2300E">
      <w:pPr>
        <w:pStyle w:val="ListParagraph"/>
        <w:numPr>
          <w:ilvl w:val="0"/>
          <w:numId w:val="3"/>
        </w:numPr>
        <w:spacing w:after="240"/>
      </w:pPr>
      <w:r>
        <w:t>Since race and ethnicity tend to be suppressed for many colleges, it was decided to combine American Indian/Alaskan, Asian, Hawaiian/Pacific Islander, Multiple, and Unknown num</w:t>
      </w:r>
      <w:r w:rsidR="08A0909A">
        <w:t>bers when further subdividing by gender into a category titled “Other/Unknown race”</w:t>
      </w:r>
      <w:r w:rsidR="17C0AAAE">
        <w:t xml:space="preserve"> (those other than Black and White)</w:t>
      </w:r>
      <w:r w:rsidR="08A0909A">
        <w:t xml:space="preserve">. </w:t>
      </w:r>
    </w:p>
    <w:p w14:paraId="1B4E7F37" w14:textId="2914F7D5" w:rsidR="000D7E0D" w:rsidRPr="009A01BA" w:rsidRDefault="000D7E0D" w:rsidP="000D7E0D">
      <w:pPr>
        <w:spacing w:after="240"/>
      </w:pPr>
      <w:r>
        <w:t>Details on how each indicator is calculated is on the “Metric Details” tab in the dashboards</w:t>
      </w:r>
      <w:r w:rsidR="001F7167">
        <w:t xml:space="preserve"> at </w:t>
      </w:r>
      <w:hyperlink r:id="rId10" w:history="1">
        <w:r w:rsidR="001F7167" w:rsidRPr="004F7D62">
          <w:rPr>
            <w:rStyle w:val="Hyperlink"/>
          </w:rPr>
          <w:t>https://www.nccommunitycolleges.edu/analytics/dashboards/cte-perkins-v-summary</w:t>
        </w:r>
      </w:hyperlink>
      <w:r>
        <w:t xml:space="preserve"> </w:t>
      </w:r>
    </w:p>
    <w:p w14:paraId="10DF12C4" w14:textId="4966613F" w:rsidR="14762FC1" w:rsidRDefault="14762FC1" w:rsidP="00175A39">
      <w:pPr>
        <w:spacing w:after="240" w:line="240" w:lineRule="auto"/>
        <w:rPr>
          <w:b/>
          <w:bCs/>
        </w:rPr>
      </w:pPr>
      <w:r w:rsidRPr="35ED52CB">
        <w:rPr>
          <w:b/>
          <w:bCs/>
          <w:u w:val="single"/>
        </w:rPr>
        <w:t>Directions:</w:t>
      </w:r>
    </w:p>
    <w:p w14:paraId="64BE31DE" w14:textId="6184C0E6" w:rsidR="14762FC1" w:rsidRDefault="14762FC1" w:rsidP="00175A39">
      <w:pPr>
        <w:spacing w:after="240" w:line="240" w:lineRule="auto"/>
      </w:pPr>
      <w:r w:rsidRPr="35ED52CB">
        <w:t xml:space="preserve">Review charts for 1P1, 2P1, and 3P1 to determine gaps in performance compared to the state and </w:t>
      </w:r>
      <w:r w:rsidR="000D0D25">
        <w:t xml:space="preserve">the </w:t>
      </w:r>
      <w:r w:rsidRPr="35ED52CB">
        <w:t xml:space="preserve">college’s negotiated </w:t>
      </w:r>
      <w:r w:rsidR="546316C2" w:rsidRPr="35ED52CB">
        <w:t xml:space="preserve">levels of performance for each indicator. Additionally, </w:t>
      </w:r>
      <w:r w:rsidR="4B27FF47">
        <w:t>noteworthy differences in performance</w:t>
      </w:r>
      <w:r w:rsidR="546316C2" w:rsidRPr="35ED52CB">
        <w:t xml:space="preserve"> between </w:t>
      </w:r>
      <w:r w:rsidR="65652E9A">
        <w:t>subpopulations</w:t>
      </w:r>
      <w:r w:rsidR="546316C2" w:rsidRPr="35ED52CB">
        <w:t xml:space="preserve"> should be identified. </w:t>
      </w:r>
    </w:p>
    <w:p w14:paraId="3B6A6641" w14:textId="45AEEC57" w:rsidR="546316C2" w:rsidRDefault="10FC9872" w:rsidP="00175A39">
      <w:pPr>
        <w:spacing w:after="240" w:line="240" w:lineRule="auto"/>
      </w:pPr>
      <w:r>
        <w:t>Write a</w:t>
      </w:r>
      <w:r w:rsidR="546316C2" w:rsidRPr="75A45EB5">
        <w:t xml:space="preserve"> list of gaps by performance indicator </w:t>
      </w:r>
      <w:r w:rsidR="45459B05">
        <w:t>(template provided)</w:t>
      </w:r>
      <w:r w:rsidR="546316C2">
        <w:t xml:space="preserve"> </w:t>
      </w:r>
      <w:r w:rsidR="3ACB73DA">
        <w:t xml:space="preserve">and </w:t>
      </w:r>
      <w:r w:rsidR="546316C2">
        <w:t xml:space="preserve">upload </w:t>
      </w:r>
      <w:r w:rsidR="68B7F804">
        <w:t>it</w:t>
      </w:r>
      <w:r w:rsidR="546316C2" w:rsidRPr="75A45EB5">
        <w:t xml:space="preserve"> to the Comprehensive Local Needs Assessment course in NCPerkins. </w:t>
      </w:r>
      <w:r w:rsidR="546316C2" w:rsidRPr="2075C42D">
        <w:rPr>
          <w:rFonts w:ascii="Calibri" w:eastAsia="Calibri" w:hAnsi="Calibri" w:cs="Calibri"/>
        </w:rPr>
        <w:t>There is a separate link for this submission</w:t>
      </w:r>
      <w:r w:rsidR="452366CB" w:rsidRPr="2075C42D">
        <w:rPr>
          <w:rFonts w:ascii="Calibri" w:eastAsia="Calibri" w:hAnsi="Calibri" w:cs="Calibri"/>
        </w:rPr>
        <w:t xml:space="preserve"> in a section titled “Performance Indicator Data Analysis”.</w:t>
      </w:r>
      <w:r w:rsidR="546316C2" w:rsidRPr="75A45EB5">
        <w:t xml:space="preserve"> </w:t>
      </w:r>
    </w:p>
    <w:p w14:paraId="1DC51134" w14:textId="278D8B57" w:rsidR="07C2300E" w:rsidRDefault="07C2300E">
      <w:r>
        <w:br w:type="page"/>
      </w:r>
    </w:p>
    <w:p w14:paraId="79D45074" w14:textId="68608569" w:rsidR="00131C7E" w:rsidRPr="009A01BA" w:rsidRDefault="00131C7E" w:rsidP="00175A39">
      <w:pPr>
        <w:spacing w:after="240" w:line="240" w:lineRule="auto"/>
        <w:rPr>
          <w:b/>
          <w:bCs/>
          <w:u w:val="single"/>
        </w:rPr>
      </w:pPr>
      <w:r w:rsidRPr="75A45EB5">
        <w:rPr>
          <w:b/>
          <w:bCs/>
          <w:u w:val="single"/>
        </w:rPr>
        <w:t>Definitions:</w:t>
      </w:r>
    </w:p>
    <w:p w14:paraId="0F9A40E0" w14:textId="5A720C5A" w:rsidR="006F1C54" w:rsidRPr="009A01BA" w:rsidRDefault="006F1C54" w:rsidP="00175A39">
      <w:pPr>
        <w:spacing w:after="240" w:line="240" w:lineRule="auto"/>
        <w:rPr>
          <w:rFonts w:cstheme="minorHAnsi"/>
        </w:rPr>
      </w:pPr>
      <w:r w:rsidRPr="009A01BA">
        <w:rPr>
          <w:rFonts w:cstheme="minorHAnsi"/>
          <w:b/>
          <w:bCs/>
        </w:rPr>
        <w:t xml:space="preserve">1P1: </w:t>
      </w:r>
      <w:proofErr w:type="spellStart"/>
      <w:r w:rsidRPr="009A01BA">
        <w:rPr>
          <w:rFonts w:cstheme="minorHAnsi"/>
          <w:b/>
          <w:bCs/>
        </w:rPr>
        <w:t>Postprogram</w:t>
      </w:r>
      <w:proofErr w:type="spellEnd"/>
      <w:r w:rsidRPr="009A01BA">
        <w:rPr>
          <w:rFonts w:cstheme="minorHAnsi"/>
          <w:b/>
          <w:bCs/>
        </w:rPr>
        <w:t xml:space="preserve"> Placement</w:t>
      </w:r>
      <w:r w:rsidRPr="009A01BA">
        <w:rPr>
          <w:rFonts w:cstheme="minorHAnsi"/>
        </w:rPr>
        <w:t>: The percentage of CTE Concentrators who completed a CTE program of study during the previous reporting year, who remain enrolled in postsecondary education or are placed in employment during the subsequent fall semester.</w:t>
      </w:r>
      <w:r w:rsidR="002B5220">
        <w:rPr>
          <w:rFonts w:cstheme="minorHAnsi"/>
        </w:rPr>
        <w:t xml:space="preserve"> </w:t>
      </w:r>
    </w:p>
    <w:p w14:paraId="2BB78959" w14:textId="7008F9D7" w:rsidR="006F1C54" w:rsidRPr="009A01BA" w:rsidRDefault="006F1C54" w:rsidP="00175A39">
      <w:pPr>
        <w:spacing w:after="240" w:line="240" w:lineRule="auto"/>
      </w:pPr>
      <w:r w:rsidRPr="35ED52CB">
        <w:rPr>
          <w:b/>
          <w:bCs/>
        </w:rPr>
        <w:t xml:space="preserve">2P1: </w:t>
      </w:r>
      <w:r w:rsidR="494F521E" w:rsidRPr="35ED52CB">
        <w:rPr>
          <w:b/>
          <w:bCs/>
        </w:rPr>
        <w:t>Earned Recognized Postsecondary Credential</w:t>
      </w:r>
      <w:r w:rsidR="494F521E" w:rsidRPr="35ED52CB">
        <w:t xml:space="preserve">: The percentage of CTE Concentrators who received a recognized postsecondary credential (Certificate, Diploma, and/or </w:t>
      </w:r>
      <w:proofErr w:type="gramStart"/>
      <w:r w:rsidR="494F521E" w:rsidRPr="35ED52CB">
        <w:t>Associate Degree</w:t>
      </w:r>
      <w:proofErr w:type="gramEnd"/>
      <w:r w:rsidR="494F521E" w:rsidRPr="35ED52CB">
        <w:t xml:space="preserve">) during the reporting year. </w:t>
      </w:r>
    </w:p>
    <w:p w14:paraId="5F279F7A" w14:textId="55D80864" w:rsidR="006F1C54" w:rsidRPr="009A01BA" w:rsidRDefault="006F1C54" w:rsidP="00175A39">
      <w:pPr>
        <w:spacing w:after="240" w:line="240" w:lineRule="auto"/>
      </w:pPr>
      <w:r w:rsidRPr="35ED52CB">
        <w:rPr>
          <w:b/>
          <w:bCs/>
        </w:rPr>
        <w:t>3P1:</w:t>
      </w:r>
      <w:r w:rsidR="17D563F9" w:rsidRPr="35ED52CB">
        <w:rPr>
          <w:b/>
          <w:bCs/>
        </w:rPr>
        <w:t xml:space="preserve"> Nontraditional Program Concentrat</w:t>
      </w:r>
      <w:r w:rsidR="567A492A" w:rsidRPr="35ED52CB">
        <w:rPr>
          <w:b/>
          <w:bCs/>
        </w:rPr>
        <w:t>ion</w:t>
      </w:r>
      <w:r w:rsidR="567A492A" w:rsidRPr="35ED52CB">
        <w:t xml:space="preserve">: </w:t>
      </w:r>
      <w:r w:rsidR="17D563F9" w:rsidRPr="35ED52CB">
        <w:t>The percentage of nontraditional CTE Concentrators in programs of study that are nontraditional for their gender.</w:t>
      </w:r>
    </w:p>
    <w:p w14:paraId="2E273221" w14:textId="2FF1B01E" w:rsidR="00131C7E" w:rsidRPr="009A01BA" w:rsidRDefault="00131C7E" w:rsidP="00175A39">
      <w:pPr>
        <w:spacing w:after="240" w:line="240" w:lineRule="auto"/>
        <w:rPr>
          <w:b/>
          <w:bCs/>
        </w:rPr>
      </w:pPr>
      <w:r w:rsidRPr="75A45EB5">
        <w:rPr>
          <w:b/>
          <w:bCs/>
        </w:rPr>
        <w:t>Special Populations</w:t>
      </w:r>
      <w:r w:rsidR="009A01BA" w:rsidRPr="75A45EB5">
        <w:rPr>
          <w:b/>
          <w:bCs/>
        </w:rPr>
        <w:t xml:space="preserve"> (Perkins V Section </w:t>
      </w:r>
      <w:r w:rsidR="000E3C50" w:rsidRPr="75A45EB5">
        <w:rPr>
          <w:b/>
          <w:bCs/>
        </w:rPr>
        <w:t>3</w:t>
      </w:r>
      <w:r w:rsidR="009A01BA" w:rsidRPr="75A45EB5">
        <w:rPr>
          <w:b/>
          <w:bCs/>
        </w:rPr>
        <w:t>(48)</w:t>
      </w:r>
    </w:p>
    <w:p w14:paraId="2C5FD325" w14:textId="54FF5C7E" w:rsidR="00131C7E" w:rsidRPr="009A01BA" w:rsidRDefault="009A01BA" w:rsidP="2075C42D">
      <w:pPr>
        <w:numPr>
          <w:ilvl w:val="0"/>
          <w:numId w:val="2"/>
        </w:numPr>
        <w:spacing w:after="240" w:line="240" w:lineRule="auto"/>
        <w:rPr>
          <w:rFonts w:eastAsia="Times New Roman"/>
          <w:color w:val="000000" w:themeColor="text1"/>
        </w:rPr>
      </w:pPr>
      <w:r w:rsidRPr="2075C42D">
        <w:rPr>
          <w:rFonts w:eastAsia="Times New Roman"/>
          <w:b/>
          <w:bCs/>
          <w:color w:val="000000" w:themeColor="text1"/>
        </w:rPr>
        <w:t>Individuals with d</w:t>
      </w:r>
      <w:r w:rsidR="00131C7E" w:rsidRPr="2075C42D">
        <w:rPr>
          <w:rFonts w:eastAsia="Times New Roman"/>
          <w:b/>
          <w:bCs/>
          <w:color w:val="000000" w:themeColor="text1"/>
        </w:rPr>
        <w:t>isab</w:t>
      </w:r>
      <w:r w:rsidRPr="2075C42D">
        <w:rPr>
          <w:rFonts w:eastAsia="Times New Roman"/>
          <w:b/>
          <w:bCs/>
          <w:color w:val="000000" w:themeColor="text1"/>
        </w:rPr>
        <w:t>ilities</w:t>
      </w:r>
      <w:r w:rsidR="00131C7E" w:rsidRPr="2075C42D">
        <w:rPr>
          <w:rStyle w:val="apple-converted-space"/>
          <w:rFonts w:eastAsia="Times New Roman"/>
          <w:b/>
          <w:bCs/>
          <w:color w:val="000000" w:themeColor="text1"/>
        </w:rPr>
        <w:t> </w:t>
      </w:r>
      <w:r w:rsidR="00E01702" w:rsidRPr="2075C42D">
        <w:rPr>
          <w:rFonts w:eastAsia="Times New Roman"/>
          <w:color w:val="000000" w:themeColor="text1"/>
        </w:rPr>
        <w:t xml:space="preserve">– </w:t>
      </w:r>
      <w:r w:rsidR="53A1ED9E" w:rsidRPr="2075C42D">
        <w:rPr>
          <w:rFonts w:eastAsia="Times New Roman"/>
          <w:color w:val="000000" w:themeColor="text1"/>
        </w:rPr>
        <w:t xml:space="preserve">At the postsecondary level this data is </w:t>
      </w:r>
      <w:r w:rsidR="37CCF29C" w:rsidRPr="5CD10AE6">
        <w:rPr>
          <w:rFonts w:eastAsia="Times New Roman"/>
          <w:color w:val="000000" w:themeColor="text1"/>
        </w:rPr>
        <w:t>available from your college</w:t>
      </w:r>
      <w:r w:rsidR="53A1ED9E" w:rsidRPr="33B58C45">
        <w:rPr>
          <w:rFonts w:eastAsia="Times New Roman"/>
          <w:color w:val="000000" w:themeColor="text1"/>
        </w:rPr>
        <w:t xml:space="preserve"> </w:t>
      </w:r>
      <w:r w:rsidRPr="5CD10AE6">
        <w:rPr>
          <w:rFonts w:eastAsia="Times New Roman"/>
          <w:color w:val="000000" w:themeColor="text1"/>
        </w:rPr>
        <w:t>d</w:t>
      </w:r>
      <w:r w:rsidR="53A1ED9E" w:rsidRPr="33B58C45">
        <w:rPr>
          <w:rFonts w:eastAsia="Times New Roman"/>
          <w:color w:val="000000" w:themeColor="text1"/>
        </w:rPr>
        <w:t xml:space="preserve">isability </w:t>
      </w:r>
      <w:r w:rsidRPr="5CD10AE6">
        <w:rPr>
          <w:rFonts w:eastAsia="Times New Roman"/>
          <w:color w:val="000000" w:themeColor="text1"/>
        </w:rPr>
        <w:t>s</w:t>
      </w:r>
      <w:r w:rsidR="53A1ED9E" w:rsidRPr="33B58C45">
        <w:rPr>
          <w:rFonts w:eastAsia="Times New Roman"/>
          <w:color w:val="000000" w:themeColor="text1"/>
        </w:rPr>
        <w:t>ervices</w:t>
      </w:r>
      <w:r w:rsidR="53A1ED9E" w:rsidRPr="2075C42D">
        <w:rPr>
          <w:rFonts w:eastAsia="Times New Roman"/>
          <w:color w:val="000000" w:themeColor="text1"/>
        </w:rPr>
        <w:t xml:space="preserve"> </w:t>
      </w:r>
      <w:r w:rsidR="006A267A">
        <w:rPr>
          <w:rFonts w:eastAsia="Times New Roman"/>
          <w:color w:val="000000" w:themeColor="text1"/>
        </w:rPr>
        <w:t xml:space="preserve">office </w:t>
      </w:r>
      <w:r w:rsidR="53A1ED9E" w:rsidRPr="2075C42D">
        <w:rPr>
          <w:rFonts w:eastAsia="Times New Roman"/>
          <w:color w:val="000000" w:themeColor="text1"/>
        </w:rPr>
        <w:t xml:space="preserve">and includes students who </w:t>
      </w:r>
      <w:r w:rsidR="059E90B3" w:rsidRPr="5CD10AE6">
        <w:rPr>
          <w:rFonts w:eastAsia="Times New Roman"/>
          <w:color w:val="000000" w:themeColor="text1"/>
        </w:rPr>
        <w:t xml:space="preserve">self-identify that they have a disability and </w:t>
      </w:r>
      <w:r w:rsidR="53A1ED9E" w:rsidRPr="2075C42D">
        <w:rPr>
          <w:rFonts w:eastAsia="Times New Roman"/>
          <w:color w:val="000000" w:themeColor="text1"/>
        </w:rPr>
        <w:t xml:space="preserve">meet the </w:t>
      </w:r>
      <w:r w:rsidR="2B1C0AD5" w:rsidRPr="2075C42D">
        <w:rPr>
          <w:rFonts w:eastAsia="Times New Roman"/>
          <w:color w:val="000000" w:themeColor="text1"/>
        </w:rPr>
        <w:t xml:space="preserve">eligibility </w:t>
      </w:r>
      <w:r w:rsidR="41768EB6" w:rsidRPr="2075C42D">
        <w:rPr>
          <w:rFonts w:eastAsia="Times New Roman"/>
          <w:color w:val="000000" w:themeColor="text1"/>
        </w:rPr>
        <w:t>criteria in Section 504 of the Rehabilitation Act</w:t>
      </w:r>
      <w:r w:rsidR="41B1FBB6" w:rsidRPr="2075C42D">
        <w:rPr>
          <w:rFonts w:eastAsia="Times New Roman"/>
          <w:color w:val="000000" w:themeColor="text1"/>
        </w:rPr>
        <w:t xml:space="preserve">. </w:t>
      </w:r>
      <w:r w:rsidR="00B01EF7">
        <w:rPr>
          <w:rFonts w:eastAsia="Times New Roman"/>
          <w:color w:val="000000" w:themeColor="text1"/>
        </w:rPr>
        <w:br/>
      </w:r>
      <w:r w:rsidR="41B1FBB6" w:rsidRPr="33B58C45">
        <w:rPr>
          <w:rFonts w:eastAsia="Times New Roman"/>
          <w:color w:val="000000" w:themeColor="text1"/>
        </w:rPr>
        <w:t>See</w:t>
      </w:r>
      <w:r w:rsidR="680F02C8" w:rsidRPr="33B58C45">
        <w:rPr>
          <w:rFonts w:eastAsia="Times New Roman"/>
          <w:color w:val="000000" w:themeColor="text1"/>
        </w:rPr>
        <w:t xml:space="preserve"> </w:t>
      </w:r>
      <w:hyperlink r:id="rId11">
        <w:r w:rsidR="680F02C8" w:rsidRPr="5CD10AE6">
          <w:rPr>
            <w:rStyle w:val="Hyperlink"/>
            <w:rFonts w:eastAsia="Times New Roman"/>
          </w:rPr>
          <w:t>https://www2.ed.gov/about/offices/list/ocr/transition.html</w:t>
        </w:r>
      </w:hyperlink>
      <w:r w:rsidR="680F02C8" w:rsidRPr="33B58C45">
        <w:rPr>
          <w:rFonts w:eastAsia="Times New Roman"/>
          <w:color w:val="000000" w:themeColor="text1"/>
        </w:rPr>
        <w:t xml:space="preserve"> </w:t>
      </w:r>
      <w:hyperlink r:id="rId12" w:history="1"/>
      <w:r w:rsidR="7D8F7F86" w:rsidRPr="33B58C45">
        <w:rPr>
          <w:rFonts w:eastAsia="Times New Roman"/>
          <w:color w:val="000000" w:themeColor="text1"/>
        </w:rPr>
        <w:t>for information</w:t>
      </w:r>
      <w:r w:rsidR="29CA502C" w:rsidRPr="5CD10AE6">
        <w:rPr>
          <w:rFonts w:eastAsia="Times New Roman"/>
          <w:color w:val="000000" w:themeColor="text1"/>
        </w:rPr>
        <w:t xml:space="preserve"> on 504 requirements a</w:t>
      </w:r>
      <w:r w:rsidR="351216EC" w:rsidRPr="5CD10AE6">
        <w:rPr>
          <w:rFonts w:eastAsia="Times New Roman"/>
          <w:color w:val="000000" w:themeColor="text1"/>
        </w:rPr>
        <w:t>t the postsecondary level</w:t>
      </w:r>
      <w:r w:rsidR="7D8F7F86" w:rsidRPr="33B58C45">
        <w:rPr>
          <w:rFonts w:eastAsia="Times New Roman"/>
          <w:color w:val="000000" w:themeColor="text1"/>
        </w:rPr>
        <w:t>.</w:t>
      </w:r>
    </w:p>
    <w:p w14:paraId="3AA50AE1" w14:textId="601065C3" w:rsidR="00131C7E" w:rsidRPr="009A01BA" w:rsidRDefault="009A01BA" w:rsidP="2075C42D">
      <w:pPr>
        <w:numPr>
          <w:ilvl w:val="0"/>
          <w:numId w:val="2"/>
        </w:numPr>
        <w:spacing w:after="240" w:line="240" w:lineRule="auto"/>
        <w:rPr>
          <w:rFonts w:eastAsia="Times New Roman"/>
          <w:color w:val="000000" w:themeColor="text1"/>
        </w:rPr>
      </w:pPr>
      <w:r w:rsidRPr="2075C42D">
        <w:rPr>
          <w:rFonts w:eastAsia="Times New Roman"/>
          <w:b/>
          <w:color w:val="000000" w:themeColor="text1"/>
        </w:rPr>
        <w:t xml:space="preserve">Individuals from </w:t>
      </w:r>
      <w:proofErr w:type="gramStart"/>
      <w:r w:rsidRPr="2075C42D">
        <w:rPr>
          <w:rFonts w:eastAsia="Times New Roman"/>
          <w:b/>
          <w:color w:val="000000" w:themeColor="text1"/>
        </w:rPr>
        <w:t>economically disadvantaged</w:t>
      </w:r>
      <w:proofErr w:type="gramEnd"/>
      <w:r w:rsidRPr="2075C42D">
        <w:rPr>
          <w:rFonts w:eastAsia="Times New Roman"/>
          <w:b/>
          <w:color w:val="000000" w:themeColor="text1"/>
        </w:rPr>
        <w:t xml:space="preserve"> families, </w:t>
      </w:r>
      <w:r w:rsidRPr="33B58C45">
        <w:rPr>
          <w:rFonts w:eastAsia="Times New Roman"/>
          <w:color w:val="000000" w:themeColor="text1"/>
        </w:rPr>
        <w:t>including low-income youth and adults</w:t>
      </w:r>
      <w:r w:rsidR="00131C7E" w:rsidRPr="2075C42D">
        <w:rPr>
          <w:rFonts w:eastAsia="Times New Roman"/>
          <w:color w:val="000000" w:themeColor="text1"/>
        </w:rPr>
        <w:t xml:space="preserve"> </w:t>
      </w:r>
      <w:r w:rsidR="005136AA" w:rsidRPr="2075C42D">
        <w:rPr>
          <w:rFonts w:eastAsia="Times New Roman"/>
          <w:color w:val="000000" w:themeColor="text1"/>
        </w:rPr>
        <w:t>–</w:t>
      </w:r>
      <w:r w:rsidR="00131C7E" w:rsidRPr="2075C42D">
        <w:rPr>
          <w:rFonts w:eastAsia="Times New Roman"/>
          <w:color w:val="000000" w:themeColor="text1"/>
        </w:rPr>
        <w:t xml:space="preserve"> Currently identified </w:t>
      </w:r>
      <w:r w:rsidR="6A80D739" w:rsidRPr="2075C42D">
        <w:rPr>
          <w:rFonts w:eastAsia="Times New Roman"/>
          <w:color w:val="000000" w:themeColor="text1"/>
        </w:rPr>
        <w:t xml:space="preserve">for data reporting purposes </w:t>
      </w:r>
      <w:r w:rsidR="00131C7E" w:rsidRPr="2075C42D">
        <w:rPr>
          <w:rFonts w:eastAsia="Times New Roman"/>
          <w:color w:val="000000" w:themeColor="text1"/>
        </w:rPr>
        <w:t xml:space="preserve">as students receiving Pell </w:t>
      </w:r>
      <w:r w:rsidR="000E3C50" w:rsidRPr="2075C42D">
        <w:rPr>
          <w:rFonts w:eastAsia="Times New Roman"/>
          <w:color w:val="000000" w:themeColor="text1"/>
        </w:rPr>
        <w:t>grants.</w:t>
      </w:r>
    </w:p>
    <w:p w14:paraId="19A114EA" w14:textId="3434429F" w:rsidR="005854F1" w:rsidRPr="009A01BA" w:rsidRDefault="005854F1" w:rsidP="00175A39">
      <w:pPr>
        <w:numPr>
          <w:ilvl w:val="0"/>
          <w:numId w:val="2"/>
        </w:numPr>
        <w:spacing w:after="240" w:line="240" w:lineRule="auto"/>
        <w:textAlignment w:val="center"/>
        <w:rPr>
          <w:rFonts w:eastAsia="Times New Roman"/>
          <w:color w:val="000000"/>
        </w:rPr>
      </w:pPr>
      <w:r w:rsidRPr="2075C42D">
        <w:rPr>
          <w:rFonts w:eastAsia="Times New Roman"/>
          <w:b/>
          <w:color w:val="000000" w:themeColor="text1"/>
        </w:rPr>
        <w:t>Individuals preparing for non-traditional fields</w:t>
      </w:r>
      <w:r w:rsidRPr="2075C42D">
        <w:rPr>
          <w:rFonts w:eastAsia="Times New Roman"/>
          <w:color w:val="000000" w:themeColor="text1"/>
        </w:rPr>
        <w:t xml:space="preserve"> - Identified by students preparing for curriculum CTE Programs identified by the National Alliance for Partnerships in Equity (NAPE) as nontraditional occupations (last updated in 2020). </w:t>
      </w:r>
      <w:r w:rsidR="00412ED3">
        <w:br/>
      </w:r>
      <w:r w:rsidRPr="2075C42D">
        <w:rPr>
          <w:rFonts w:eastAsia="Times New Roman"/>
          <w:color w:val="000000" w:themeColor="text1"/>
        </w:rPr>
        <w:t xml:space="preserve">See </w:t>
      </w:r>
      <w:hyperlink r:id="rId13">
        <w:r w:rsidR="79FED9B4" w:rsidRPr="2075C42D">
          <w:rPr>
            <w:rStyle w:val="Hyperlink"/>
            <w:rFonts w:eastAsia="Times New Roman"/>
          </w:rPr>
          <w:t>https://napequity.org/nontraditional-occupations-crosswalk/</w:t>
        </w:r>
      </w:hyperlink>
      <w:r w:rsidRPr="2075C42D">
        <w:rPr>
          <w:rFonts w:eastAsia="Times New Roman"/>
          <w:color w:val="000000" w:themeColor="text1"/>
        </w:rPr>
        <w:t xml:space="preserve"> </w:t>
      </w:r>
    </w:p>
    <w:p w14:paraId="08DA8EDB" w14:textId="3A3B60B3" w:rsidR="00412ED3" w:rsidRPr="009A01BA" w:rsidRDefault="00412ED3" w:rsidP="00175A39">
      <w:pPr>
        <w:numPr>
          <w:ilvl w:val="0"/>
          <w:numId w:val="2"/>
        </w:numPr>
        <w:spacing w:after="240" w:line="240" w:lineRule="auto"/>
        <w:textAlignment w:val="center"/>
        <w:rPr>
          <w:rFonts w:eastAsia="Times New Roman"/>
          <w:color w:val="000000"/>
        </w:rPr>
      </w:pPr>
      <w:r w:rsidRPr="2075C42D">
        <w:rPr>
          <w:rFonts w:eastAsia="Times New Roman"/>
          <w:color w:val="000000" w:themeColor="text1"/>
        </w:rPr>
        <w:t xml:space="preserve">Individuals </w:t>
      </w:r>
      <w:r w:rsidR="000E3C50" w:rsidRPr="2075C42D">
        <w:rPr>
          <w:rFonts w:eastAsia="Times New Roman"/>
          <w:color w:val="000000" w:themeColor="text1"/>
        </w:rPr>
        <w:t xml:space="preserve">who </w:t>
      </w:r>
      <w:r w:rsidRPr="2075C42D">
        <w:rPr>
          <w:rFonts w:eastAsia="Times New Roman"/>
          <w:color w:val="000000" w:themeColor="text1"/>
        </w:rPr>
        <w:t>identified as</w:t>
      </w:r>
      <w:r w:rsidR="000E3C50" w:rsidRPr="2075C42D">
        <w:rPr>
          <w:rFonts w:eastAsia="Times New Roman"/>
          <w:color w:val="000000" w:themeColor="text1"/>
        </w:rPr>
        <w:t xml:space="preserve"> a</w:t>
      </w:r>
      <w:r w:rsidRPr="2075C42D">
        <w:rPr>
          <w:rStyle w:val="apple-converted-space"/>
          <w:rFonts w:eastAsia="Times New Roman"/>
          <w:color w:val="000000" w:themeColor="text1"/>
        </w:rPr>
        <w:t> </w:t>
      </w:r>
      <w:r w:rsidRPr="2075C42D">
        <w:rPr>
          <w:rFonts w:eastAsia="Times New Roman"/>
          <w:b/>
          <w:color w:val="000000" w:themeColor="text1"/>
        </w:rPr>
        <w:t>minority</w:t>
      </w:r>
      <w:r w:rsidRPr="2075C42D">
        <w:rPr>
          <w:rStyle w:val="apple-converted-space"/>
          <w:rFonts w:eastAsia="Times New Roman"/>
          <w:color w:val="000000" w:themeColor="text1"/>
        </w:rPr>
        <w:t> </w:t>
      </w:r>
      <w:r w:rsidR="000E3C50" w:rsidRPr="2075C42D">
        <w:rPr>
          <w:rStyle w:val="apple-converted-space"/>
          <w:rFonts w:eastAsia="Times New Roman"/>
          <w:color w:val="000000" w:themeColor="text1"/>
        </w:rPr>
        <w:t xml:space="preserve">race or ethnicity </w:t>
      </w:r>
      <w:r w:rsidRPr="2075C42D">
        <w:rPr>
          <w:rStyle w:val="apple-converted-space"/>
          <w:rFonts w:eastAsia="Times New Roman"/>
          <w:color w:val="000000" w:themeColor="text1"/>
        </w:rPr>
        <w:t xml:space="preserve">- </w:t>
      </w:r>
      <w:r w:rsidRPr="2075C42D">
        <w:t xml:space="preserve">Minority </w:t>
      </w:r>
      <w:r w:rsidR="000E3C50" w:rsidRPr="2075C42D">
        <w:t>races are defined as</w:t>
      </w:r>
      <w:r w:rsidRPr="2075C42D">
        <w:t xml:space="preserve"> Black, Hispanic, Asian/Pacific Islander, or American Indian/Alaska Native. </w:t>
      </w:r>
      <w:hyperlink r:id="rId14">
        <w:r w:rsidRPr="2075C42D">
          <w:rPr>
            <w:rStyle w:val="Hyperlink"/>
          </w:rPr>
          <w:t>https://nces.ed.gov/pubs2008/2008156.pdf</w:t>
        </w:r>
      </w:hyperlink>
      <w:r w:rsidRPr="2075C42D">
        <w:t xml:space="preserve"> page iii, footnote 1 </w:t>
      </w:r>
      <w:proofErr w:type="gramStart"/>
      <w:r w:rsidRPr="2075C42D">
        <w:t>and also</w:t>
      </w:r>
      <w:proofErr w:type="gramEnd"/>
      <w:r w:rsidRPr="2075C42D">
        <w:t xml:space="preserve"> the US Census footnote says minority is defined “as any race and ethnicity combination other than non-Hispanic and White.” And </w:t>
      </w:r>
      <w:hyperlink r:id="rId15">
        <w:r w:rsidRPr="2075C42D">
          <w:rPr>
            <w:rStyle w:val="Hyperlink"/>
          </w:rPr>
          <w:t>https://www.census.gov/library/visualizations/2021/comm/employer-firms.html</w:t>
        </w:r>
      </w:hyperlink>
      <w:r w:rsidRPr="2075C42D">
        <w:t xml:space="preserve"> </w:t>
      </w:r>
    </w:p>
    <w:p w14:paraId="74F09F6B" w14:textId="3A605547" w:rsidR="005854F1" w:rsidRPr="009A01BA" w:rsidRDefault="005854F1" w:rsidP="00175A39">
      <w:pPr>
        <w:numPr>
          <w:ilvl w:val="0"/>
          <w:numId w:val="2"/>
        </w:numPr>
        <w:spacing w:after="240" w:line="240" w:lineRule="auto"/>
        <w:textAlignment w:val="center"/>
        <w:rPr>
          <w:rFonts w:eastAsia="Times New Roman"/>
          <w:color w:val="000000"/>
        </w:rPr>
      </w:pPr>
      <w:r w:rsidRPr="2075C42D">
        <w:rPr>
          <w:rFonts w:eastAsia="Times New Roman"/>
          <w:b/>
          <w:color w:val="000000" w:themeColor="text1"/>
        </w:rPr>
        <w:t>Single parent</w:t>
      </w:r>
      <w:r w:rsidR="000E3C50" w:rsidRPr="2075C42D">
        <w:rPr>
          <w:rFonts w:eastAsia="Times New Roman"/>
          <w:b/>
          <w:color w:val="000000" w:themeColor="text1"/>
        </w:rPr>
        <w:t>s, including single pregnant women</w:t>
      </w:r>
      <w:r w:rsidRPr="2075C42D">
        <w:rPr>
          <w:rFonts w:eastAsia="Times New Roman"/>
          <w:b/>
          <w:color w:val="000000" w:themeColor="text1"/>
        </w:rPr>
        <w:t xml:space="preserve"> </w:t>
      </w:r>
      <w:r w:rsidRPr="2075C42D">
        <w:t xml:space="preserve">– </w:t>
      </w:r>
      <w:r w:rsidRPr="2075C42D">
        <w:rPr>
          <w:highlight w:val="lightGray"/>
        </w:rPr>
        <w:t xml:space="preserve">Not currently </w:t>
      </w:r>
      <w:r w:rsidR="009D784B" w:rsidRPr="2075C42D">
        <w:rPr>
          <w:highlight w:val="lightGray"/>
        </w:rPr>
        <w:t>collected</w:t>
      </w:r>
      <w:r w:rsidRPr="33B58C45">
        <w:rPr>
          <w:highlight w:val="lightGray"/>
        </w:rPr>
        <w:t xml:space="preserve"> </w:t>
      </w:r>
      <w:r w:rsidR="3F45036F" w:rsidRPr="33B58C45">
        <w:rPr>
          <w:highlight w:val="lightGray"/>
        </w:rPr>
        <w:t>in Colleague</w:t>
      </w:r>
      <w:r w:rsidRPr="33B58C45">
        <w:rPr>
          <w:rFonts w:eastAsia="Times New Roman"/>
          <w:color w:val="000000" w:themeColor="text1"/>
        </w:rPr>
        <w:t xml:space="preserve"> </w:t>
      </w:r>
      <w:r w:rsidRPr="2075C42D">
        <w:rPr>
          <w:rFonts w:eastAsia="Times New Roman"/>
          <w:color w:val="000000" w:themeColor="text1"/>
        </w:rPr>
        <w:t>Individual with a dependent child or children who is unmarried, widowed or divorced and not remarried. </w:t>
      </w:r>
    </w:p>
    <w:p w14:paraId="7ED2657F" w14:textId="4B9214ED" w:rsidR="000E3C50" w:rsidRPr="000E3C50" w:rsidRDefault="005854F1" w:rsidP="00175A39">
      <w:pPr>
        <w:numPr>
          <w:ilvl w:val="0"/>
          <w:numId w:val="2"/>
        </w:numPr>
        <w:spacing w:after="240" w:line="240" w:lineRule="auto"/>
        <w:textAlignment w:val="center"/>
        <w:rPr>
          <w:rStyle w:val="apple-converted-space"/>
          <w:rFonts w:eastAsia="Times New Roman"/>
          <w:color w:val="000000"/>
        </w:rPr>
      </w:pPr>
      <w:r w:rsidRPr="2075C42D">
        <w:rPr>
          <w:rFonts w:eastAsia="Times New Roman"/>
          <w:b/>
          <w:color w:val="000000" w:themeColor="text1"/>
        </w:rPr>
        <w:t xml:space="preserve">Out-of-workforce Individuals </w:t>
      </w:r>
      <w:r w:rsidRPr="2075C42D">
        <w:t xml:space="preserve">– </w:t>
      </w:r>
      <w:r w:rsidRPr="2075C42D">
        <w:rPr>
          <w:highlight w:val="lightGray"/>
        </w:rPr>
        <w:t xml:space="preserve">Not currently </w:t>
      </w:r>
      <w:r w:rsidR="009D784B" w:rsidRPr="2075C42D">
        <w:rPr>
          <w:highlight w:val="lightGray"/>
        </w:rPr>
        <w:t>collected</w:t>
      </w:r>
      <w:r w:rsidR="5A7EF53E" w:rsidRPr="33B58C45">
        <w:rPr>
          <w:highlight w:val="lightGray"/>
        </w:rPr>
        <w:t xml:space="preserve"> in Colleague</w:t>
      </w:r>
      <w:r>
        <w:t>.</w:t>
      </w:r>
      <w:r w:rsidRPr="2075C42D">
        <w:rPr>
          <w:rStyle w:val="apple-converted-space"/>
          <w:rFonts w:eastAsia="Times New Roman"/>
          <w:b/>
          <w:color w:val="000000" w:themeColor="text1"/>
        </w:rPr>
        <w:t xml:space="preserve"> </w:t>
      </w:r>
      <w:r w:rsidR="000E3C50" w:rsidRPr="2075C42D">
        <w:rPr>
          <w:rStyle w:val="apple-converted-space"/>
          <w:rFonts w:eastAsia="Times New Roman"/>
          <w:color w:val="000000" w:themeColor="text1"/>
        </w:rPr>
        <w:t>Out-Of-Workforce is defined in Perkins V Section 3(36) as</w:t>
      </w:r>
    </w:p>
    <w:p w14:paraId="4F3A9FD2" w14:textId="3018211C" w:rsidR="000E3C50" w:rsidRPr="000E3C50" w:rsidRDefault="000E3C50" w:rsidP="00175A39">
      <w:pPr>
        <w:numPr>
          <w:ilvl w:val="1"/>
          <w:numId w:val="2"/>
        </w:numPr>
        <w:spacing w:after="240" w:line="240" w:lineRule="auto"/>
        <w:textAlignment w:val="center"/>
        <w:rPr>
          <w:rFonts w:eastAsia="Times New Roman" w:cstheme="minorHAnsi"/>
          <w:color w:val="000000"/>
        </w:rPr>
      </w:pPr>
      <w:r w:rsidRPr="2075C42D">
        <w:rPr>
          <w:rFonts w:eastAsia="Times New Roman"/>
          <w:color w:val="000000" w:themeColor="text1"/>
        </w:rPr>
        <w:t>An individual who is a displaced homemaker, as defined in section 3 of the Workforce Innovation and Opportunity Act (29 U.S.C. 3102); or</w:t>
      </w:r>
    </w:p>
    <w:p w14:paraId="28BAFD53" w14:textId="1A3A6D8E" w:rsidR="000E3C50" w:rsidRPr="000E3C50" w:rsidRDefault="000E3C50" w:rsidP="00175A39">
      <w:pPr>
        <w:numPr>
          <w:ilvl w:val="1"/>
          <w:numId w:val="2"/>
        </w:numPr>
        <w:spacing w:after="240" w:line="240" w:lineRule="auto"/>
        <w:textAlignment w:val="center"/>
        <w:rPr>
          <w:rFonts w:eastAsia="Times New Roman" w:cstheme="minorHAnsi"/>
          <w:color w:val="000000"/>
        </w:rPr>
      </w:pPr>
      <w:r w:rsidRPr="2075C42D">
        <w:rPr>
          <w:rFonts w:eastAsia="Times New Roman"/>
          <w:color w:val="000000" w:themeColor="text1"/>
        </w:rPr>
        <w:t xml:space="preserve">An individual who – </w:t>
      </w:r>
    </w:p>
    <w:p w14:paraId="161005F0" w14:textId="7E38F5A7" w:rsidR="000E3C50" w:rsidRPr="000E3C50" w:rsidRDefault="000E3C50" w:rsidP="00175A39">
      <w:pPr>
        <w:spacing w:after="240" w:line="240" w:lineRule="auto"/>
        <w:ind w:left="1440"/>
        <w:textAlignment w:val="center"/>
        <w:rPr>
          <w:rFonts w:eastAsia="Times New Roman" w:cstheme="minorHAnsi"/>
          <w:color w:val="000000"/>
        </w:rPr>
      </w:pPr>
      <w:r w:rsidRPr="000E3C50">
        <w:rPr>
          <w:rFonts w:eastAsia="Times New Roman" w:cstheme="minorHAnsi"/>
          <w:color w:val="000000"/>
        </w:rPr>
        <w:t>(i)(I) has worked primarily without renumeration to care for a home and family, and for that reason has diminished marketable skills; or</w:t>
      </w:r>
    </w:p>
    <w:p w14:paraId="6A3511AF" w14:textId="3FD1D5A8" w:rsidR="000E3C50" w:rsidRPr="000E3C50" w:rsidRDefault="000E3C50" w:rsidP="00175A39">
      <w:pPr>
        <w:spacing w:after="240" w:line="240" w:lineRule="auto"/>
        <w:ind w:left="1440"/>
        <w:textAlignment w:val="center"/>
        <w:rPr>
          <w:rFonts w:eastAsia="Times New Roman" w:cstheme="minorHAnsi"/>
          <w:color w:val="000000"/>
        </w:rPr>
      </w:pPr>
      <w:r w:rsidRPr="000E3C50">
        <w:rPr>
          <w:rFonts w:eastAsia="Times New Roman" w:cstheme="minorHAnsi"/>
          <w:color w:val="000000"/>
        </w:rPr>
        <w:t xml:space="preserve">(II) is a parent whose youngest dependent child will become ineligible to receive assistance under part A of title IV of the Social Security Act (42 U.S.C.  601 et seq.) not later than 2 years after the date on which the parent applies for assistance under such title; and </w:t>
      </w:r>
    </w:p>
    <w:p w14:paraId="6FFE59DB" w14:textId="47A44673" w:rsidR="000E3C50" w:rsidRPr="000E3C50" w:rsidRDefault="000E3C50" w:rsidP="00175A39">
      <w:pPr>
        <w:spacing w:after="240" w:line="240" w:lineRule="auto"/>
        <w:ind w:left="1440"/>
        <w:textAlignment w:val="center"/>
        <w:rPr>
          <w:rFonts w:eastAsia="Times New Roman" w:cstheme="minorHAnsi"/>
          <w:color w:val="000000"/>
        </w:rPr>
      </w:pPr>
      <w:r w:rsidRPr="000E3C50">
        <w:rPr>
          <w:rFonts w:eastAsia="Times New Roman" w:cstheme="minorHAnsi"/>
          <w:color w:val="000000"/>
        </w:rPr>
        <w:t xml:space="preserve">(ii) is unemployed or underemployed and is </w:t>
      </w:r>
      <w:proofErr w:type="gramStart"/>
      <w:r w:rsidRPr="000E3C50">
        <w:rPr>
          <w:rFonts w:eastAsia="Times New Roman" w:cstheme="minorHAnsi"/>
          <w:color w:val="000000"/>
        </w:rPr>
        <w:t>experiencing difficulty</w:t>
      </w:r>
      <w:proofErr w:type="gramEnd"/>
      <w:r w:rsidRPr="000E3C50">
        <w:rPr>
          <w:rFonts w:eastAsia="Times New Roman" w:cstheme="minorHAnsi"/>
          <w:color w:val="000000"/>
        </w:rPr>
        <w:t xml:space="preserve"> in obtaining or upgrading employment.</w:t>
      </w:r>
    </w:p>
    <w:p w14:paraId="689F1A19" w14:textId="3DD9DF81" w:rsidR="00131C7E" w:rsidRPr="009A01BA" w:rsidRDefault="005854F1" w:rsidP="00175A39">
      <w:pPr>
        <w:numPr>
          <w:ilvl w:val="0"/>
          <w:numId w:val="2"/>
        </w:numPr>
        <w:spacing w:after="240" w:line="240" w:lineRule="auto"/>
        <w:textAlignment w:val="center"/>
        <w:rPr>
          <w:rFonts w:eastAsia="Times New Roman"/>
          <w:color w:val="000000"/>
        </w:rPr>
      </w:pPr>
      <w:r w:rsidRPr="2075C42D">
        <w:rPr>
          <w:rFonts w:eastAsia="Times New Roman"/>
          <w:b/>
          <w:color w:val="000000" w:themeColor="text1"/>
        </w:rPr>
        <w:t>English Learners</w:t>
      </w:r>
      <w:r w:rsidR="00B83CBA" w:rsidRPr="2075C42D">
        <w:t xml:space="preserve">– </w:t>
      </w:r>
      <w:r w:rsidR="00B83CBA" w:rsidRPr="2075C42D">
        <w:rPr>
          <w:highlight w:val="lightGray"/>
        </w:rPr>
        <w:t>Not currently</w:t>
      </w:r>
      <w:r w:rsidR="009D784B" w:rsidRPr="2075C42D">
        <w:rPr>
          <w:highlight w:val="lightGray"/>
        </w:rPr>
        <w:t xml:space="preserve"> collected</w:t>
      </w:r>
      <w:r w:rsidR="4035B04E" w:rsidRPr="33B58C45">
        <w:rPr>
          <w:highlight w:val="lightGray"/>
        </w:rPr>
        <w:t xml:space="preserve"> in Colleague</w:t>
      </w:r>
      <w:r w:rsidR="009D784B" w:rsidRPr="33B58C45">
        <w:rPr>
          <w:highlight w:val="lightGray"/>
        </w:rPr>
        <w:t>.</w:t>
      </w:r>
      <w:r w:rsidR="00E01702" w:rsidRPr="2075C42D">
        <w:rPr>
          <w:rFonts w:eastAsia="Times New Roman"/>
          <w:color w:val="000000" w:themeColor="text1"/>
        </w:rPr>
        <w:t xml:space="preserve"> </w:t>
      </w:r>
      <w:r w:rsidRPr="2075C42D">
        <w:rPr>
          <w:rFonts w:eastAsia="Times New Roman"/>
          <w:color w:val="000000" w:themeColor="text1"/>
        </w:rPr>
        <w:t xml:space="preserve">Students whose </w:t>
      </w:r>
      <w:r w:rsidR="00131C7E" w:rsidRPr="2075C42D">
        <w:rPr>
          <w:rFonts w:eastAsia="Times New Roman"/>
          <w:color w:val="000000" w:themeColor="text1"/>
        </w:rPr>
        <w:t xml:space="preserve">primary language </w:t>
      </w:r>
      <w:r w:rsidRPr="2075C42D">
        <w:rPr>
          <w:rFonts w:eastAsia="Times New Roman"/>
          <w:color w:val="000000" w:themeColor="text1"/>
        </w:rPr>
        <w:t xml:space="preserve">is not English, </w:t>
      </w:r>
      <w:r w:rsidR="00131C7E" w:rsidRPr="2075C42D">
        <w:rPr>
          <w:rFonts w:eastAsia="Times New Roman"/>
          <w:color w:val="000000" w:themeColor="text1"/>
        </w:rPr>
        <w:t xml:space="preserve">and they have difficulty communicating effectively in </w:t>
      </w:r>
      <w:r w:rsidR="009D784B" w:rsidRPr="2075C42D">
        <w:rPr>
          <w:rFonts w:eastAsia="Times New Roman"/>
          <w:color w:val="000000" w:themeColor="text1"/>
        </w:rPr>
        <w:t>English.</w:t>
      </w:r>
    </w:p>
    <w:p w14:paraId="20C7FC2D" w14:textId="72917AAE" w:rsidR="005854F1" w:rsidRPr="009A01BA" w:rsidRDefault="005854F1" w:rsidP="00175A39">
      <w:pPr>
        <w:numPr>
          <w:ilvl w:val="0"/>
          <w:numId w:val="2"/>
        </w:numPr>
        <w:spacing w:after="240" w:line="240" w:lineRule="auto"/>
        <w:textAlignment w:val="center"/>
        <w:rPr>
          <w:rFonts w:eastAsia="Times New Roman"/>
          <w:color w:val="000000"/>
        </w:rPr>
      </w:pPr>
      <w:r w:rsidRPr="2075C42D">
        <w:rPr>
          <w:rFonts w:eastAsia="Times New Roman"/>
          <w:b/>
        </w:rPr>
        <w:t xml:space="preserve">Homeless individuals </w:t>
      </w:r>
      <w:r w:rsidRPr="2075C42D">
        <w:rPr>
          <w:rFonts w:eastAsia="Times New Roman"/>
        </w:rPr>
        <w:t>described in section 725 of the McKinney-Vento Homeless Assistance Act</w:t>
      </w:r>
      <w:r w:rsidR="000E3C50" w:rsidRPr="2075C42D">
        <w:rPr>
          <w:rFonts w:eastAsia="Times New Roman"/>
          <w:b/>
          <w:color w:val="000000" w:themeColor="text1"/>
        </w:rPr>
        <w:t xml:space="preserve"> </w:t>
      </w:r>
      <w:r w:rsidRPr="2075C42D">
        <w:t xml:space="preserve">– </w:t>
      </w:r>
      <w:r w:rsidRPr="2075C42D">
        <w:rPr>
          <w:highlight w:val="lightGray"/>
        </w:rPr>
        <w:t>Only evaluated at the secondary level</w:t>
      </w:r>
      <w:r w:rsidR="496CFD6E" w:rsidRPr="2075C42D">
        <w:rPr>
          <w:highlight w:val="lightGray"/>
        </w:rPr>
        <w:t>, though colleges are encouraged to serve this population</w:t>
      </w:r>
      <w:r w:rsidRPr="2075C42D">
        <w:t>.</w:t>
      </w:r>
      <w:r w:rsidRPr="2075C42D">
        <w:rPr>
          <w:rStyle w:val="apple-converted-space"/>
          <w:rFonts w:eastAsia="Times New Roman"/>
          <w:color w:val="000000" w:themeColor="text1"/>
        </w:rPr>
        <w:t> </w:t>
      </w:r>
    </w:p>
    <w:p w14:paraId="72B0EF1C" w14:textId="40521BCE" w:rsidR="005854F1" w:rsidRDefault="005854F1" w:rsidP="2075C42D">
      <w:pPr>
        <w:numPr>
          <w:ilvl w:val="0"/>
          <w:numId w:val="2"/>
        </w:numPr>
        <w:spacing w:after="240" w:line="240" w:lineRule="auto"/>
        <w:rPr>
          <w:rFonts w:eastAsia="Times New Roman"/>
          <w:color w:val="000000" w:themeColor="text1"/>
        </w:rPr>
      </w:pPr>
      <w:r w:rsidRPr="2075C42D">
        <w:rPr>
          <w:rFonts w:eastAsia="Times New Roman"/>
          <w:b/>
          <w:bCs/>
          <w:color w:val="000000" w:themeColor="text1"/>
        </w:rPr>
        <w:t>Youth who are</w:t>
      </w:r>
      <w:r w:rsidR="009A01BA" w:rsidRPr="2075C42D">
        <w:rPr>
          <w:rFonts w:eastAsia="Times New Roman"/>
          <w:b/>
          <w:bCs/>
          <w:color w:val="000000" w:themeColor="text1"/>
        </w:rPr>
        <w:t xml:space="preserve"> in </w:t>
      </w:r>
      <w:r w:rsidRPr="2075C42D">
        <w:rPr>
          <w:rFonts w:eastAsia="Times New Roman"/>
          <w:b/>
          <w:bCs/>
          <w:color w:val="000000" w:themeColor="text1"/>
        </w:rPr>
        <w:t xml:space="preserve">or have </w:t>
      </w:r>
      <w:r w:rsidR="009A01BA" w:rsidRPr="2075C42D">
        <w:rPr>
          <w:rFonts w:eastAsia="Times New Roman"/>
          <w:b/>
          <w:bCs/>
          <w:color w:val="000000" w:themeColor="text1"/>
        </w:rPr>
        <w:t>aged out of</w:t>
      </w:r>
      <w:r w:rsidRPr="2075C42D">
        <w:rPr>
          <w:rFonts w:eastAsia="Times New Roman"/>
          <w:b/>
          <w:bCs/>
          <w:color w:val="000000" w:themeColor="text1"/>
        </w:rPr>
        <w:t>, the</w:t>
      </w:r>
      <w:r w:rsidR="009A01BA" w:rsidRPr="2075C42D">
        <w:rPr>
          <w:rFonts w:eastAsia="Times New Roman"/>
          <w:b/>
          <w:bCs/>
          <w:color w:val="000000" w:themeColor="text1"/>
        </w:rPr>
        <w:t xml:space="preserve"> Foster Care</w:t>
      </w:r>
      <w:r w:rsidRPr="2075C42D">
        <w:rPr>
          <w:rFonts w:eastAsia="Times New Roman"/>
          <w:b/>
          <w:bCs/>
          <w:color w:val="000000" w:themeColor="text1"/>
        </w:rPr>
        <w:t xml:space="preserve"> System</w:t>
      </w:r>
      <w:r w:rsidR="009A01BA" w:rsidRPr="2075C42D">
        <w:rPr>
          <w:rStyle w:val="apple-converted-space"/>
          <w:rFonts w:eastAsia="Times New Roman"/>
          <w:color w:val="000000" w:themeColor="text1"/>
        </w:rPr>
        <w:t> </w:t>
      </w:r>
      <w:r w:rsidR="438A992C" w:rsidRPr="2075C42D">
        <w:t xml:space="preserve">– </w:t>
      </w:r>
      <w:r w:rsidR="438A992C" w:rsidRPr="2075C42D">
        <w:rPr>
          <w:highlight w:val="lightGray"/>
        </w:rPr>
        <w:t>Only evaluated at the secondary level, though colleges are encouraged to serve this population</w:t>
      </w:r>
      <w:r w:rsidR="438A992C" w:rsidRPr="2075C42D">
        <w:t>.</w:t>
      </w:r>
      <w:r w:rsidR="438A992C" w:rsidRPr="2075C42D">
        <w:rPr>
          <w:rStyle w:val="apple-converted-space"/>
          <w:rFonts w:eastAsia="Times New Roman"/>
          <w:color w:val="000000" w:themeColor="text1"/>
        </w:rPr>
        <w:t> </w:t>
      </w:r>
    </w:p>
    <w:p w14:paraId="61D3B9EA" w14:textId="01CB5DCA" w:rsidR="005854F1" w:rsidRDefault="005854F1" w:rsidP="2075C42D">
      <w:pPr>
        <w:pStyle w:val="ListParagraph"/>
        <w:numPr>
          <w:ilvl w:val="0"/>
          <w:numId w:val="2"/>
        </w:numPr>
        <w:spacing w:after="240"/>
        <w:rPr>
          <w:rFonts w:eastAsia="Times New Roman" w:cstheme="minorBidi"/>
          <w:color w:val="000000" w:themeColor="text1"/>
        </w:rPr>
      </w:pPr>
      <w:r w:rsidRPr="2075C42D">
        <w:rPr>
          <w:rFonts w:asciiTheme="minorHAnsi" w:eastAsia="Times New Roman" w:hAnsiTheme="minorHAnsi" w:cstheme="minorBidi"/>
          <w:b/>
          <w:bCs/>
          <w:color w:val="000000" w:themeColor="text1"/>
        </w:rPr>
        <w:t>Youth with a parent who is a member of the armed forces and is on active duty</w:t>
      </w:r>
      <w:r w:rsidR="009A01BA" w:rsidRPr="2075C42D">
        <w:rPr>
          <w:rFonts w:asciiTheme="minorHAnsi" w:eastAsia="Times New Roman" w:hAnsiTheme="minorHAnsi" w:cstheme="minorBidi"/>
          <w:b/>
          <w:bCs/>
          <w:color w:val="000000" w:themeColor="text1"/>
        </w:rPr>
        <w:t xml:space="preserve"> </w:t>
      </w:r>
      <w:r w:rsidR="3E9A05A3" w:rsidRPr="2075C42D">
        <w:rPr>
          <w:rFonts w:cstheme="minorBidi"/>
        </w:rPr>
        <w:t xml:space="preserve">– </w:t>
      </w:r>
      <w:r w:rsidR="3E9A05A3" w:rsidRPr="2075C42D">
        <w:rPr>
          <w:rFonts w:cstheme="minorBidi"/>
          <w:highlight w:val="lightGray"/>
        </w:rPr>
        <w:t>Only evaluated at the secondary level, though colleges are encouraged to serve this population</w:t>
      </w:r>
      <w:r w:rsidR="3E9A05A3" w:rsidRPr="2075C42D">
        <w:rPr>
          <w:rFonts w:cstheme="minorBidi"/>
        </w:rPr>
        <w:t>.</w:t>
      </w:r>
      <w:r w:rsidR="3E9A05A3" w:rsidRPr="2075C42D">
        <w:rPr>
          <w:rStyle w:val="apple-converted-space"/>
          <w:rFonts w:eastAsia="Times New Roman" w:cstheme="minorBidi"/>
          <w:color w:val="000000" w:themeColor="text1"/>
        </w:rPr>
        <w:t> </w:t>
      </w:r>
    </w:p>
    <w:p w14:paraId="7EDB1C1B" w14:textId="77777777" w:rsidR="008B357E" w:rsidRPr="009A01BA" w:rsidRDefault="008B357E" w:rsidP="00175A39">
      <w:pPr>
        <w:spacing w:after="240" w:line="240" w:lineRule="auto"/>
        <w:rPr>
          <w:rFonts w:cstheme="minorHAnsi"/>
        </w:rPr>
      </w:pPr>
    </w:p>
    <w:p w14:paraId="2070E600" w14:textId="77777777" w:rsidR="00131C7E" w:rsidRPr="009A01BA" w:rsidRDefault="00131C7E" w:rsidP="00175A39">
      <w:pPr>
        <w:spacing w:after="240" w:line="240" w:lineRule="auto"/>
        <w:rPr>
          <w:rFonts w:cstheme="minorHAnsi"/>
        </w:rPr>
      </w:pPr>
    </w:p>
    <w:sectPr w:rsidR="00131C7E" w:rsidRPr="009A01B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3FC1" w14:textId="77777777" w:rsidR="00CA687C" w:rsidRDefault="00CA687C" w:rsidP="00403E17">
      <w:pPr>
        <w:spacing w:after="0" w:line="240" w:lineRule="auto"/>
      </w:pPr>
      <w:r>
        <w:separator/>
      </w:r>
    </w:p>
  </w:endnote>
  <w:endnote w:type="continuationSeparator" w:id="0">
    <w:p w14:paraId="7A7727FB" w14:textId="77777777" w:rsidR="00CA687C" w:rsidRDefault="00CA687C" w:rsidP="00403E17">
      <w:pPr>
        <w:spacing w:after="0" w:line="240" w:lineRule="auto"/>
      </w:pPr>
      <w:r>
        <w:continuationSeparator/>
      </w:r>
    </w:p>
  </w:endnote>
  <w:endnote w:type="continuationNotice" w:id="1">
    <w:p w14:paraId="3875CC17" w14:textId="77777777" w:rsidR="00CA687C" w:rsidRDefault="00CA6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20"/>
        <w:szCs w:val="20"/>
      </w:rPr>
      <w:id w:val="158359449"/>
      <w:docPartObj>
        <w:docPartGallery w:val="Page Numbers (Bottom of Page)"/>
        <w:docPartUnique/>
      </w:docPartObj>
    </w:sdtPr>
    <w:sdtEndPr/>
    <w:sdtContent>
      <w:p w14:paraId="43DFAD2C" w14:textId="1E8B8C9B" w:rsidR="006418B2" w:rsidRPr="00ED0FE3" w:rsidRDefault="006418B2" w:rsidP="00D3446B">
        <w:pPr>
          <w:pStyle w:val="NoSpacing"/>
          <w:rPr>
            <w:b/>
            <w:bCs/>
            <w:color w:val="A6A6A6" w:themeColor="background1" w:themeShade="A6"/>
            <w:sz w:val="20"/>
            <w:szCs w:val="20"/>
          </w:rPr>
        </w:pPr>
        <w:r w:rsidRPr="00ED0FE3">
          <w:rPr>
            <w:color w:val="A6A6A6" w:themeColor="background1" w:themeShade="A6"/>
            <w:sz w:val="20"/>
            <w:szCs w:val="20"/>
          </w:rPr>
          <w:fldChar w:fldCharType="begin"/>
        </w:r>
        <w:r w:rsidRPr="00ED0FE3">
          <w:rPr>
            <w:color w:val="A6A6A6" w:themeColor="background1" w:themeShade="A6"/>
            <w:sz w:val="20"/>
            <w:szCs w:val="20"/>
          </w:rPr>
          <w:instrText xml:space="preserve"> PAGE   \* MERGEFORMAT </w:instrText>
        </w:r>
        <w:r w:rsidRPr="00ED0FE3">
          <w:rPr>
            <w:color w:val="A6A6A6" w:themeColor="background1" w:themeShade="A6"/>
            <w:sz w:val="20"/>
            <w:szCs w:val="20"/>
          </w:rPr>
          <w:fldChar w:fldCharType="separate"/>
        </w:r>
        <w:r w:rsidRPr="00ED0FE3">
          <w:rPr>
            <w:b/>
            <w:bCs/>
            <w:noProof/>
            <w:color w:val="A6A6A6" w:themeColor="background1" w:themeShade="A6"/>
            <w:sz w:val="20"/>
            <w:szCs w:val="20"/>
          </w:rPr>
          <w:t>2</w:t>
        </w:r>
        <w:r w:rsidRPr="00ED0FE3">
          <w:rPr>
            <w:b/>
            <w:bCs/>
            <w:noProof/>
            <w:color w:val="A6A6A6" w:themeColor="background1" w:themeShade="A6"/>
            <w:sz w:val="20"/>
            <w:szCs w:val="20"/>
          </w:rPr>
          <w:fldChar w:fldCharType="end"/>
        </w:r>
        <w:r w:rsidRPr="00ED0FE3">
          <w:rPr>
            <w:b/>
            <w:bCs/>
            <w:color w:val="A6A6A6" w:themeColor="background1" w:themeShade="A6"/>
            <w:sz w:val="20"/>
            <w:szCs w:val="20"/>
          </w:rPr>
          <w:t xml:space="preserve"> | </w:t>
        </w:r>
        <w:r w:rsidRPr="00ED0FE3">
          <w:rPr>
            <w:color w:val="A6A6A6" w:themeColor="background1" w:themeShade="A6"/>
            <w:sz w:val="20"/>
            <w:szCs w:val="20"/>
          </w:rPr>
          <w:t>Page</w:t>
        </w:r>
        <w:r w:rsidR="007A79DB" w:rsidRPr="00ED0FE3">
          <w:rPr>
            <w:color w:val="A6A6A6" w:themeColor="background1" w:themeShade="A6"/>
            <w:sz w:val="20"/>
            <w:szCs w:val="20"/>
          </w:rPr>
          <w:tab/>
        </w:r>
        <w:r w:rsidR="007A79DB" w:rsidRPr="00ED0FE3">
          <w:rPr>
            <w:color w:val="A6A6A6" w:themeColor="background1" w:themeShade="A6"/>
            <w:sz w:val="20"/>
            <w:szCs w:val="20"/>
          </w:rPr>
          <w:tab/>
        </w:r>
        <w:r w:rsidR="00ED0FE3" w:rsidRPr="00ED0FE3">
          <w:rPr>
            <w:color w:val="A6A6A6" w:themeColor="background1" w:themeShade="A6"/>
            <w:sz w:val="20"/>
            <w:szCs w:val="20"/>
          </w:rPr>
          <w:tab/>
        </w:r>
        <w:r w:rsidR="00ED0FE3" w:rsidRPr="00ED0FE3">
          <w:rPr>
            <w:color w:val="A6A6A6" w:themeColor="background1" w:themeShade="A6"/>
            <w:sz w:val="20"/>
            <w:szCs w:val="20"/>
          </w:rPr>
          <w:tab/>
        </w:r>
        <w:r w:rsidR="00ED0FE3" w:rsidRPr="00ED0FE3">
          <w:rPr>
            <w:color w:val="A6A6A6" w:themeColor="background1" w:themeShade="A6"/>
            <w:sz w:val="20"/>
            <w:szCs w:val="20"/>
          </w:rPr>
          <w:tab/>
        </w:r>
        <w:r w:rsidR="00ED0FE3" w:rsidRPr="00ED0FE3">
          <w:rPr>
            <w:color w:val="A6A6A6" w:themeColor="background1" w:themeShade="A6"/>
            <w:sz w:val="20"/>
            <w:szCs w:val="20"/>
          </w:rPr>
          <w:tab/>
        </w:r>
        <w:r w:rsidR="00ED0FE3" w:rsidRPr="00ED0FE3">
          <w:rPr>
            <w:color w:val="A6A6A6" w:themeColor="background1" w:themeShade="A6"/>
            <w:sz w:val="20"/>
            <w:szCs w:val="20"/>
          </w:rPr>
          <w:tab/>
        </w:r>
        <w:r w:rsidR="00ED0FE3" w:rsidRPr="00ED0FE3">
          <w:rPr>
            <w:color w:val="A6A6A6" w:themeColor="background1" w:themeShade="A6"/>
            <w:sz w:val="20"/>
            <w:szCs w:val="20"/>
          </w:rPr>
          <w:tab/>
        </w:r>
        <w:r w:rsidR="00ED0FE3">
          <w:rPr>
            <w:color w:val="A6A6A6" w:themeColor="background1" w:themeShade="A6"/>
            <w:sz w:val="20"/>
            <w:szCs w:val="20"/>
          </w:rPr>
          <w:tab/>
        </w:r>
        <w:r w:rsidR="00ED0FE3" w:rsidRPr="00ED0FE3">
          <w:rPr>
            <w:color w:val="A6A6A6" w:themeColor="background1" w:themeShade="A6"/>
            <w:sz w:val="20"/>
            <w:szCs w:val="20"/>
          </w:rPr>
          <w:tab/>
        </w:r>
        <w:r w:rsidR="00ED0FE3" w:rsidRPr="00ED0FE3">
          <w:rPr>
            <w:color w:val="A6A6A6" w:themeColor="background1" w:themeShade="A6"/>
            <w:sz w:val="20"/>
            <w:szCs w:val="20"/>
          </w:rPr>
          <w:tab/>
        </w:r>
        <w:r w:rsidR="007A79DB" w:rsidRPr="00ED0FE3">
          <w:rPr>
            <w:color w:val="A6A6A6" w:themeColor="background1" w:themeShade="A6"/>
            <w:sz w:val="20"/>
            <w:szCs w:val="20"/>
          </w:rPr>
          <w:t xml:space="preserve">as of </w:t>
        </w:r>
        <w:r w:rsidR="00D3446B" w:rsidRPr="00ED0FE3">
          <w:rPr>
            <w:color w:val="A6A6A6" w:themeColor="background1" w:themeShade="A6"/>
            <w:sz w:val="20"/>
            <w:szCs w:val="20"/>
          </w:rPr>
          <w:t>3/</w:t>
        </w:r>
        <w:r w:rsidR="007972A1">
          <w:rPr>
            <w:color w:val="A6A6A6" w:themeColor="background1" w:themeShade="A6"/>
            <w:sz w:val="20"/>
            <w:szCs w:val="20"/>
          </w:rPr>
          <w:t>10</w:t>
        </w:r>
        <w:r w:rsidR="00D3446B" w:rsidRPr="00ED0FE3">
          <w:rPr>
            <w:color w:val="A6A6A6" w:themeColor="background1" w:themeShade="A6"/>
            <w:sz w:val="20"/>
            <w:szCs w:val="20"/>
          </w:rPr>
          <w:t>/2023</w:t>
        </w:r>
      </w:p>
    </w:sdtContent>
  </w:sdt>
  <w:p w14:paraId="3CAF10AC" w14:textId="30443630" w:rsidR="00403E17" w:rsidRDefault="00403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F62F" w14:textId="77777777" w:rsidR="00CA687C" w:rsidRDefault="00CA687C" w:rsidP="00403E17">
      <w:pPr>
        <w:spacing w:after="0" w:line="240" w:lineRule="auto"/>
      </w:pPr>
      <w:r>
        <w:separator/>
      </w:r>
    </w:p>
  </w:footnote>
  <w:footnote w:type="continuationSeparator" w:id="0">
    <w:p w14:paraId="522A625F" w14:textId="77777777" w:rsidR="00CA687C" w:rsidRDefault="00CA687C" w:rsidP="00403E17">
      <w:pPr>
        <w:spacing w:after="0" w:line="240" w:lineRule="auto"/>
      </w:pPr>
      <w:r>
        <w:continuationSeparator/>
      </w:r>
    </w:p>
  </w:footnote>
  <w:footnote w:type="continuationNotice" w:id="1">
    <w:p w14:paraId="6332913F" w14:textId="77777777" w:rsidR="00CA687C" w:rsidRDefault="00CA68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010"/>
    <w:multiLevelType w:val="hybridMultilevel"/>
    <w:tmpl w:val="7EE22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53F5E"/>
    <w:multiLevelType w:val="hybridMultilevel"/>
    <w:tmpl w:val="426E07A6"/>
    <w:lvl w:ilvl="0" w:tplc="3218310E">
      <w:start w:val="1"/>
      <w:numFmt w:val="decimal"/>
      <w:lvlText w:val="%1."/>
      <w:lvlJc w:val="left"/>
      <w:pPr>
        <w:tabs>
          <w:tab w:val="num" w:pos="720"/>
        </w:tabs>
        <w:ind w:left="720" w:hanging="360"/>
      </w:pPr>
    </w:lvl>
    <w:lvl w:ilvl="1" w:tplc="2AFEA094">
      <w:start w:val="1"/>
      <w:numFmt w:val="upperLetter"/>
      <w:lvlText w:val="(%2)"/>
      <w:lvlJc w:val="left"/>
      <w:pPr>
        <w:ind w:left="1440" w:hanging="360"/>
      </w:pPr>
    </w:lvl>
    <w:lvl w:ilvl="2" w:tplc="B8341684">
      <w:start w:val="1"/>
      <w:numFmt w:val="decimal"/>
      <w:lvlText w:val="%3."/>
      <w:lvlJc w:val="left"/>
      <w:pPr>
        <w:tabs>
          <w:tab w:val="num" w:pos="2160"/>
        </w:tabs>
        <w:ind w:left="2160" w:hanging="360"/>
      </w:pPr>
    </w:lvl>
    <w:lvl w:ilvl="3" w:tplc="41F4B662">
      <w:start w:val="1"/>
      <w:numFmt w:val="decimal"/>
      <w:lvlText w:val="%4."/>
      <w:lvlJc w:val="left"/>
      <w:pPr>
        <w:tabs>
          <w:tab w:val="num" w:pos="2880"/>
        </w:tabs>
        <w:ind w:left="2880" w:hanging="360"/>
      </w:pPr>
    </w:lvl>
    <w:lvl w:ilvl="4" w:tplc="5BD20E1A">
      <w:start w:val="1"/>
      <w:numFmt w:val="decimal"/>
      <w:lvlText w:val="%5."/>
      <w:lvlJc w:val="left"/>
      <w:pPr>
        <w:tabs>
          <w:tab w:val="num" w:pos="3600"/>
        </w:tabs>
        <w:ind w:left="3600" w:hanging="360"/>
      </w:pPr>
    </w:lvl>
    <w:lvl w:ilvl="5" w:tplc="7834C08E">
      <w:start w:val="1"/>
      <w:numFmt w:val="decimal"/>
      <w:lvlText w:val="%6."/>
      <w:lvlJc w:val="left"/>
      <w:pPr>
        <w:tabs>
          <w:tab w:val="num" w:pos="4320"/>
        </w:tabs>
        <w:ind w:left="4320" w:hanging="360"/>
      </w:pPr>
    </w:lvl>
    <w:lvl w:ilvl="6" w:tplc="99745BE6">
      <w:start w:val="1"/>
      <w:numFmt w:val="decimal"/>
      <w:lvlText w:val="%7."/>
      <w:lvlJc w:val="left"/>
      <w:pPr>
        <w:tabs>
          <w:tab w:val="num" w:pos="5040"/>
        </w:tabs>
        <w:ind w:left="5040" w:hanging="360"/>
      </w:pPr>
    </w:lvl>
    <w:lvl w:ilvl="7" w:tplc="14AC52E8">
      <w:start w:val="1"/>
      <w:numFmt w:val="decimal"/>
      <w:lvlText w:val="%8."/>
      <w:lvlJc w:val="left"/>
      <w:pPr>
        <w:tabs>
          <w:tab w:val="num" w:pos="5760"/>
        </w:tabs>
        <w:ind w:left="5760" w:hanging="360"/>
      </w:pPr>
    </w:lvl>
    <w:lvl w:ilvl="8" w:tplc="120EF85E">
      <w:start w:val="1"/>
      <w:numFmt w:val="decimal"/>
      <w:lvlText w:val="%9."/>
      <w:lvlJc w:val="left"/>
      <w:pPr>
        <w:tabs>
          <w:tab w:val="num" w:pos="6480"/>
        </w:tabs>
        <w:ind w:left="6480" w:hanging="360"/>
      </w:pPr>
    </w:lvl>
  </w:abstractNum>
  <w:abstractNum w:abstractNumId="2" w15:restartNumberingAfterBreak="0">
    <w:nsid w:val="7FA5A6B7"/>
    <w:multiLevelType w:val="hybridMultilevel"/>
    <w:tmpl w:val="1F0ECBC8"/>
    <w:lvl w:ilvl="0" w:tplc="6AAEF2D4">
      <w:start w:val="1"/>
      <w:numFmt w:val="bullet"/>
      <w:lvlText w:val=""/>
      <w:lvlJc w:val="left"/>
      <w:pPr>
        <w:ind w:left="720" w:hanging="360"/>
      </w:pPr>
      <w:rPr>
        <w:rFonts w:ascii="Symbol" w:hAnsi="Symbol" w:hint="default"/>
      </w:rPr>
    </w:lvl>
    <w:lvl w:ilvl="1" w:tplc="531CB9C8">
      <w:start w:val="1"/>
      <w:numFmt w:val="bullet"/>
      <w:lvlText w:val="o"/>
      <w:lvlJc w:val="left"/>
      <w:pPr>
        <w:ind w:left="1440" w:hanging="360"/>
      </w:pPr>
      <w:rPr>
        <w:rFonts w:ascii="Courier New" w:hAnsi="Courier New" w:hint="default"/>
      </w:rPr>
    </w:lvl>
    <w:lvl w:ilvl="2" w:tplc="D6609B8E">
      <w:start w:val="1"/>
      <w:numFmt w:val="bullet"/>
      <w:lvlText w:val=""/>
      <w:lvlJc w:val="left"/>
      <w:pPr>
        <w:ind w:left="2160" w:hanging="360"/>
      </w:pPr>
      <w:rPr>
        <w:rFonts w:ascii="Wingdings" w:hAnsi="Wingdings" w:hint="default"/>
      </w:rPr>
    </w:lvl>
    <w:lvl w:ilvl="3" w:tplc="FC143538">
      <w:start w:val="1"/>
      <w:numFmt w:val="bullet"/>
      <w:lvlText w:val=""/>
      <w:lvlJc w:val="left"/>
      <w:pPr>
        <w:ind w:left="2880" w:hanging="360"/>
      </w:pPr>
      <w:rPr>
        <w:rFonts w:ascii="Symbol" w:hAnsi="Symbol" w:hint="default"/>
      </w:rPr>
    </w:lvl>
    <w:lvl w:ilvl="4" w:tplc="F7C25562">
      <w:start w:val="1"/>
      <w:numFmt w:val="bullet"/>
      <w:lvlText w:val="o"/>
      <w:lvlJc w:val="left"/>
      <w:pPr>
        <w:ind w:left="3600" w:hanging="360"/>
      </w:pPr>
      <w:rPr>
        <w:rFonts w:ascii="Courier New" w:hAnsi="Courier New" w:hint="default"/>
      </w:rPr>
    </w:lvl>
    <w:lvl w:ilvl="5" w:tplc="01705D56">
      <w:start w:val="1"/>
      <w:numFmt w:val="bullet"/>
      <w:lvlText w:val=""/>
      <w:lvlJc w:val="left"/>
      <w:pPr>
        <w:ind w:left="4320" w:hanging="360"/>
      </w:pPr>
      <w:rPr>
        <w:rFonts w:ascii="Wingdings" w:hAnsi="Wingdings" w:hint="default"/>
      </w:rPr>
    </w:lvl>
    <w:lvl w:ilvl="6" w:tplc="3286CFD8">
      <w:start w:val="1"/>
      <w:numFmt w:val="bullet"/>
      <w:lvlText w:val=""/>
      <w:lvlJc w:val="left"/>
      <w:pPr>
        <w:ind w:left="5040" w:hanging="360"/>
      </w:pPr>
      <w:rPr>
        <w:rFonts w:ascii="Symbol" w:hAnsi="Symbol" w:hint="default"/>
      </w:rPr>
    </w:lvl>
    <w:lvl w:ilvl="7" w:tplc="11EE549C">
      <w:start w:val="1"/>
      <w:numFmt w:val="bullet"/>
      <w:lvlText w:val="o"/>
      <w:lvlJc w:val="left"/>
      <w:pPr>
        <w:ind w:left="5760" w:hanging="360"/>
      </w:pPr>
      <w:rPr>
        <w:rFonts w:ascii="Courier New" w:hAnsi="Courier New" w:hint="default"/>
      </w:rPr>
    </w:lvl>
    <w:lvl w:ilvl="8" w:tplc="6B9EE662">
      <w:start w:val="1"/>
      <w:numFmt w:val="bullet"/>
      <w:lvlText w:val=""/>
      <w:lvlJc w:val="left"/>
      <w:pPr>
        <w:ind w:left="6480" w:hanging="360"/>
      </w:pPr>
      <w:rPr>
        <w:rFonts w:ascii="Wingdings" w:hAnsi="Wingdings" w:hint="default"/>
      </w:rPr>
    </w:lvl>
  </w:abstractNum>
  <w:num w:numId="1" w16cid:durableId="755707891">
    <w:abstractNumId w:val="2"/>
  </w:num>
  <w:num w:numId="2" w16cid:durableId="1017006651">
    <w:abstractNumId w:val="1"/>
  </w:num>
  <w:num w:numId="3" w16cid:durableId="27193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7E"/>
    <w:rsid w:val="00035688"/>
    <w:rsid w:val="000765C8"/>
    <w:rsid w:val="000D0D25"/>
    <w:rsid w:val="000D7E0D"/>
    <w:rsid w:val="000E3C50"/>
    <w:rsid w:val="000E4F5B"/>
    <w:rsid w:val="00131C7E"/>
    <w:rsid w:val="00175A39"/>
    <w:rsid w:val="001A1E87"/>
    <w:rsid w:val="001F7167"/>
    <w:rsid w:val="002A4C35"/>
    <w:rsid w:val="002B5220"/>
    <w:rsid w:val="003044F1"/>
    <w:rsid w:val="003F1D6A"/>
    <w:rsid w:val="00403E17"/>
    <w:rsid w:val="00412ED3"/>
    <w:rsid w:val="00497F71"/>
    <w:rsid w:val="004A62BB"/>
    <w:rsid w:val="004D62C2"/>
    <w:rsid w:val="004F0EBE"/>
    <w:rsid w:val="005136AA"/>
    <w:rsid w:val="0051742E"/>
    <w:rsid w:val="005854F1"/>
    <w:rsid w:val="005C2989"/>
    <w:rsid w:val="006418B2"/>
    <w:rsid w:val="00680FBA"/>
    <w:rsid w:val="006A267A"/>
    <w:rsid w:val="006E7C63"/>
    <w:rsid w:val="006F1C54"/>
    <w:rsid w:val="007248C3"/>
    <w:rsid w:val="007972A1"/>
    <w:rsid w:val="007A79DB"/>
    <w:rsid w:val="007B5E80"/>
    <w:rsid w:val="00871EA9"/>
    <w:rsid w:val="008B1182"/>
    <w:rsid w:val="008B357E"/>
    <w:rsid w:val="00915573"/>
    <w:rsid w:val="009A01BA"/>
    <w:rsid w:val="009D784B"/>
    <w:rsid w:val="00A50695"/>
    <w:rsid w:val="00AA7B25"/>
    <w:rsid w:val="00B01EF7"/>
    <w:rsid w:val="00B83CBA"/>
    <w:rsid w:val="00BA0E46"/>
    <w:rsid w:val="00BA688B"/>
    <w:rsid w:val="00C3377D"/>
    <w:rsid w:val="00CA687C"/>
    <w:rsid w:val="00D3446B"/>
    <w:rsid w:val="00D6565D"/>
    <w:rsid w:val="00E01702"/>
    <w:rsid w:val="00E97549"/>
    <w:rsid w:val="00EB085B"/>
    <w:rsid w:val="00ED0FE3"/>
    <w:rsid w:val="00EF6EBF"/>
    <w:rsid w:val="0112120F"/>
    <w:rsid w:val="027EC38C"/>
    <w:rsid w:val="04C85F51"/>
    <w:rsid w:val="056F46E6"/>
    <w:rsid w:val="059E90B3"/>
    <w:rsid w:val="06642FB2"/>
    <w:rsid w:val="07C2300E"/>
    <w:rsid w:val="08832DC6"/>
    <w:rsid w:val="08A0909A"/>
    <w:rsid w:val="08FD9B75"/>
    <w:rsid w:val="099BF286"/>
    <w:rsid w:val="0AB50905"/>
    <w:rsid w:val="0B5B49A2"/>
    <w:rsid w:val="0B8DA7DA"/>
    <w:rsid w:val="0C7A6D25"/>
    <w:rsid w:val="0DDEC30D"/>
    <w:rsid w:val="0DECA9C7"/>
    <w:rsid w:val="0E142C32"/>
    <w:rsid w:val="0EBBAB53"/>
    <w:rsid w:val="10FC9872"/>
    <w:rsid w:val="12859CA9"/>
    <w:rsid w:val="12E9B07A"/>
    <w:rsid w:val="14762FC1"/>
    <w:rsid w:val="15A21EEE"/>
    <w:rsid w:val="17C0AAAE"/>
    <w:rsid w:val="17C9DF4C"/>
    <w:rsid w:val="17D563F9"/>
    <w:rsid w:val="185D4C12"/>
    <w:rsid w:val="19AA91D6"/>
    <w:rsid w:val="1BB7FCC6"/>
    <w:rsid w:val="1BFB9484"/>
    <w:rsid w:val="1C52C4B7"/>
    <w:rsid w:val="2075C42D"/>
    <w:rsid w:val="254CA9AB"/>
    <w:rsid w:val="263CA34E"/>
    <w:rsid w:val="274E433B"/>
    <w:rsid w:val="28147354"/>
    <w:rsid w:val="2838FE37"/>
    <w:rsid w:val="29464B8B"/>
    <w:rsid w:val="29CA502C"/>
    <w:rsid w:val="2A14E4C1"/>
    <w:rsid w:val="2A8D4944"/>
    <w:rsid w:val="2B0038DD"/>
    <w:rsid w:val="2B1C0AD5"/>
    <w:rsid w:val="2B7044F9"/>
    <w:rsid w:val="2C19A179"/>
    <w:rsid w:val="2FF30281"/>
    <w:rsid w:val="317A52CC"/>
    <w:rsid w:val="3219BBE4"/>
    <w:rsid w:val="32617FF2"/>
    <w:rsid w:val="33B58C45"/>
    <w:rsid w:val="33E7CB17"/>
    <w:rsid w:val="33ED98C8"/>
    <w:rsid w:val="351216EC"/>
    <w:rsid w:val="35ED52CB"/>
    <w:rsid w:val="374A2437"/>
    <w:rsid w:val="37CCF29C"/>
    <w:rsid w:val="3968C2FD"/>
    <w:rsid w:val="3ACB73DA"/>
    <w:rsid w:val="3C436BF2"/>
    <w:rsid w:val="3E9A05A3"/>
    <w:rsid w:val="3F155AA8"/>
    <w:rsid w:val="3F45036F"/>
    <w:rsid w:val="4035B04E"/>
    <w:rsid w:val="403BB373"/>
    <w:rsid w:val="41768EB6"/>
    <w:rsid w:val="41B1FBB6"/>
    <w:rsid w:val="4259A965"/>
    <w:rsid w:val="4277C8F5"/>
    <w:rsid w:val="438A992C"/>
    <w:rsid w:val="444E9FE9"/>
    <w:rsid w:val="44C3944A"/>
    <w:rsid w:val="452366CB"/>
    <w:rsid w:val="45459B05"/>
    <w:rsid w:val="461B3B9C"/>
    <w:rsid w:val="472D1A88"/>
    <w:rsid w:val="487ED732"/>
    <w:rsid w:val="48DBFBEC"/>
    <w:rsid w:val="494F521E"/>
    <w:rsid w:val="496CFD6E"/>
    <w:rsid w:val="4A8AA327"/>
    <w:rsid w:val="4B27FF47"/>
    <w:rsid w:val="4C1DD260"/>
    <w:rsid w:val="4CB7D0C9"/>
    <w:rsid w:val="4CEE3F79"/>
    <w:rsid w:val="4DDE273F"/>
    <w:rsid w:val="520036A2"/>
    <w:rsid w:val="5299A71A"/>
    <w:rsid w:val="53971D00"/>
    <w:rsid w:val="53A1ED9E"/>
    <w:rsid w:val="546316C2"/>
    <w:rsid w:val="54EB0A92"/>
    <w:rsid w:val="554E09B7"/>
    <w:rsid w:val="55874E5E"/>
    <w:rsid w:val="5608819A"/>
    <w:rsid w:val="567A492A"/>
    <w:rsid w:val="570F90F9"/>
    <w:rsid w:val="57F19B1D"/>
    <w:rsid w:val="581D1331"/>
    <w:rsid w:val="5894CE60"/>
    <w:rsid w:val="5A7EF53E"/>
    <w:rsid w:val="5BDF36A2"/>
    <w:rsid w:val="5CCDFF7C"/>
    <w:rsid w:val="5CD10AE6"/>
    <w:rsid w:val="5CF14A0B"/>
    <w:rsid w:val="5D28D759"/>
    <w:rsid w:val="5E7114CC"/>
    <w:rsid w:val="5F694EC0"/>
    <w:rsid w:val="5F6DE680"/>
    <w:rsid w:val="63317096"/>
    <w:rsid w:val="65652E9A"/>
    <w:rsid w:val="65783625"/>
    <w:rsid w:val="65D3C6B6"/>
    <w:rsid w:val="667A7168"/>
    <w:rsid w:val="680F02C8"/>
    <w:rsid w:val="68B7F804"/>
    <w:rsid w:val="696A1CE6"/>
    <w:rsid w:val="6A80D739"/>
    <w:rsid w:val="6B4DE28B"/>
    <w:rsid w:val="6C02700B"/>
    <w:rsid w:val="705DDCAC"/>
    <w:rsid w:val="72279DD8"/>
    <w:rsid w:val="7342D0F9"/>
    <w:rsid w:val="7390AF36"/>
    <w:rsid w:val="7391ADE2"/>
    <w:rsid w:val="75A45EB5"/>
    <w:rsid w:val="783CD2CE"/>
    <w:rsid w:val="79FED9B4"/>
    <w:rsid w:val="7BA97C49"/>
    <w:rsid w:val="7D1A4538"/>
    <w:rsid w:val="7D44035C"/>
    <w:rsid w:val="7D8F7F86"/>
    <w:rsid w:val="7FE89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F18A"/>
  <w15:chartTrackingRefBased/>
  <w15:docId w15:val="{8F214BAC-FF57-49D8-8E8E-1345B56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C7E"/>
  </w:style>
  <w:style w:type="character" w:styleId="Hyperlink">
    <w:name w:val="Hyperlink"/>
    <w:basedOn w:val="DefaultParagraphFont"/>
    <w:uiPriority w:val="99"/>
    <w:unhideWhenUsed/>
    <w:rsid w:val="00131C7E"/>
    <w:rPr>
      <w:color w:val="0000FF"/>
      <w:u w:val="single"/>
    </w:rPr>
  </w:style>
  <w:style w:type="paragraph" w:styleId="ListParagraph">
    <w:name w:val="List Paragraph"/>
    <w:basedOn w:val="Normal"/>
    <w:uiPriority w:val="34"/>
    <w:qFormat/>
    <w:rsid w:val="00131C7E"/>
    <w:pPr>
      <w:spacing w:after="0" w:line="240" w:lineRule="auto"/>
      <w:ind w:left="720"/>
      <w:contextualSpacing/>
    </w:pPr>
    <w:rPr>
      <w:rFonts w:ascii="Calibri" w:hAnsi="Calibri" w:cs="Calibri"/>
    </w:rPr>
  </w:style>
  <w:style w:type="character" w:customStyle="1" w:styleId="markedcontent">
    <w:name w:val="markedcontent"/>
    <w:basedOn w:val="DefaultParagraphFont"/>
    <w:rsid w:val="00131C7E"/>
  </w:style>
  <w:style w:type="character" w:styleId="UnresolvedMention">
    <w:name w:val="Unresolved Mention"/>
    <w:basedOn w:val="DefaultParagraphFont"/>
    <w:uiPriority w:val="99"/>
    <w:semiHidden/>
    <w:unhideWhenUsed/>
    <w:rsid w:val="00412ED3"/>
    <w:rPr>
      <w:color w:val="605E5C"/>
      <w:shd w:val="clear" w:color="auto" w:fill="E1DFDD"/>
    </w:rPr>
  </w:style>
  <w:style w:type="paragraph" w:styleId="Header">
    <w:name w:val="header"/>
    <w:basedOn w:val="Normal"/>
    <w:link w:val="HeaderChar"/>
    <w:uiPriority w:val="99"/>
    <w:unhideWhenUsed/>
    <w:rsid w:val="0040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17"/>
  </w:style>
  <w:style w:type="paragraph" w:styleId="Footer">
    <w:name w:val="footer"/>
    <w:basedOn w:val="Normal"/>
    <w:link w:val="FooterChar"/>
    <w:uiPriority w:val="99"/>
    <w:unhideWhenUsed/>
    <w:rsid w:val="0040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17"/>
  </w:style>
  <w:style w:type="paragraph" w:styleId="NoSpacing">
    <w:name w:val="No Spacing"/>
    <w:uiPriority w:val="1"/>
    <w:qFormat/>
    <w:rsid w:val="00D34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pequity.org/nontraditional-occupations-crosswal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gov/about/offices/list/ocr/504faq.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about/offices/list/ocr/transition.html" TargetMode="External"/><Relationship Id="rId5" Type="http://schemas.openxmlformats.org/officeDocument/2006/relationships/styles" Target="styles.xml"/><Relationship Id="rId15" Type="http://schemas.openxmlformats.org/officeDocument/2006/relationships/hyperlink" Target="https://www.census.gov/library/visualizations/2021/comm/employer-firms.html" TargetMode="External"/><Relationship Id="rId10" Type="http://schemas.openxmlformats.org/officeDocument/2006/relationships/hyperlink" Target="https://www.nccommunitycolleges.edu/analytics/dashboards/cte-perkins-v-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es.ed.gov/pubs2008/2008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648569-d889-4cab-8fb7-f97de583ec0f" xsi:nil="true"/>
    <lcf76f155ced4ddcb4097134ff3c332f xmlns="c2944ea2-f59e-4d9b-9e07-2e8200370d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FA20A777A1E45B39AEF474C3214FD" ma:contentTypeVersion="15" ma:contentTypeDescription="Create a new document." ma:contentTypeScope="" ma:versionID="23de42f4f29e77b58244b3ae77c8fe4b">
  <xsd:schema xmlns:xsd="http://www.w3.org/2001/XMLSchema" xmlns:xs="http://www.w3.org/2001/XMLSchema" xmlns:p="http://schemas.microsoft.com/office/2006/metadata/properties" xmlns:ns2="c2944ea2-f59e-4d9b-9e07-2e8200370d35" xmlns:ns3="a3648569-d889-4cab-8fb7-f97de583ec0f" targetNamespace="http://schemas.microsoft.com/office/2006/metadata/properties" ma:root="true" ma:fieldsID="75a295c533d6f25716023b9607d5287f" ns2:_="" ns3:_="">
    <xsd:import namespace="c2944ea2-f59e-4d9b-9e07-2e8200370d35"/>
    <xsd:import namespace="a3648569-d889-4cab-8fb7-f97de583ec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4ea2-f59e-4d9b-9e07-2e820037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410e6b-3f3a-46d5-b089-fcc12dc488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48569-d889-4cab-8fb7-f97de583ec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23b4f3-e477-4c24-8cf9-751aee7eab28}" ma:internalName="TaxCatchAll" ma:showField="CatchAllData" ma:web="a3648569-d889-4cab-8fb7-f97de583ec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5DB48-F424-4F24-BB22-5667D5AAB515}">
  <ds:schemaRefs>
    <ds:schemaRef ds:uri="http://schemas.microsoft.com/sharepoint/v3/contenttype/forms"/>
  </ds:schemaRefs>
</ds:datastoreItem>
</file>

<file path=customXml/itemProps2.xml><?xml version="1.0" encoding="utf-8"?>
<ds:datastoreItem xmlns:ds="http://schemas.openxmlformats.org/officeDocument/2006/customXml" ds:itemID="{5D5CDA97-2629-4812-BEB1-9D0EC63B5C50}">
  <ds:schemaRefs>
    <ds:schemaRef ds:uri="http://schemas.microsoft.com/office/2006/metadata/properties"/>
    <ds:schemaRef ds:uri="http://schemas.microsoft.com/office/infopath/2007/PartnerControls"/>
    <ds:schemaRef ds:uri="a3648569-d889-4cab-8fb7-f97de583ec0f"/>
    <ds:schemaRef ds:uri="c2944ea2-f59e-4d9b-9e07-2e8200370d35"/>
  </ds:schemaRefs>
</ds:datastoreItem>
</file>

<file path=customXml/itemProps3.xml><?xml version="1.0" encoding="utf-8"?>
<ds:datastoreItem xmlns:ds="http://schemas.openxmlformats.org/officeDocument/2006/customXml" ds:itemID="{8B8838CC-B4F0-4D8A-A808-4A3D3F73F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44ea2-f59e-4d9b-9e07-2e8200370d35"/>
    <ds:schemaRef ds:uri="a3648569-d889-4cab-8fb7-f97de583e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1023</Words>
  <Characters>5836</Characters>
  <Application>Microsoft Office Word</Application>
  <DocSecurity>4</DocSecurity>
  <Lines>48</Lines>
  <Paragraphs>13</Paragraphs>
  <ScaleCrop>false</ScaleCrop>
  <Company/>
  <LinksUpToDate>false</LinksUpToDate>
  <CharactersWithSpaces>6846</CharactersWithSpaces>
  <SharedDoc>false</SharedDoc>
  <HLinks>
    <vt:vector size="36" baseType="variant">
      <vt:variant>
        <vt:i4>2490419</vt:i4>
      </vt:variant>
      <vt:variant>
        <vt:i4>15</vt:i4>
      </vt:variant>
      <vt:variant>
        <vt:i4>0</vt:i4>
      </vt:variant>
      <vt:variant>
        <vt:i4>5</vt:i4>
      </vt:variant>
      <vt:variant>
        <vt:lpwstr>https://www.census.gov/library/visualizations/2021/comm/employer-firms.html</vt:lpwstr>
      </vt:variant>
      <vt:variant>
        <vt:lpwstr/>
      </vt:variant>
      <vt:variant>
        <vt:i4>1507416</vt:i4>
      </vt:variant>
      <vt:variant>
        <vt:i4>12</vt:i4>
      </vt:variant>
      <vt:variant>
        <vt:i4>0</vt:i4>
      </vt:variant>
      <vt:variant>
        <vt:i4>5</vt:i4>
      </vt:variant>
      <vt:variant>
        <vt:lpwstr>https://nces.ed.gov/pubs2008/2008156.pdf</vt:lpwstr>
      </vt:variant>
      <vt:variant>
        <vt:lpwstr/>
      </vt:variant>
      <vt:variant>
        <vt:i4>8257585</vt:i4>
      </vt:variant>
      <vt:variant>
        <vt:i4>9</vt:i4>
      </vt:variant>
      <vt:variant>
        <vt:i4>0</vt:i4>
      </vt:variant>
      <vt:variant>
        <vt:i4>5</vt:i4>
      </vt:variant>
      <vt:variant>
        <vt:lpwstr>https://napequity.org/nontraditional-occupations-crosswalk/</vt:lpwstr>
      </vt:variant>
      <vt:variant>
        <vt:lpwstr/>
      </vt:variant>
      <vt:variant>
        <vt:i4>7602214</vt:i4>
      </vt:variant>
      <vt:variant>
        <vt:i4>6</vt:i4>
      </vt:variant>
      <vt:variant>
        <vt:i4>0</vt:i4>
      </vt:variant>
      <vt:variant>
        <vt:i4>5</vt:i4>
      </vt:variant>
      <vt:variant>
        <vt:lpwstr>https://www2.ed.gov/about/offices/list/ocr/504faq.html</vt:lpwstr>
      </vt:variant>
      <vt:variant>
        <vt:lpwstr/>
      </vt:variant>
      <vt:variant>
        <vt:i4>6881395</vt:i4>
      </vt:variant>
      <vt:variant>
        <vt:i4>3</vt:i4>
      </vt:variant>
      <vt:variant>
        <vt:i4>0</vt:i4>
      </vt:variant>
      <vt:variant>
        <vt:i4>5</vt:i4>
      </vt:variant>
      <vt:variant>
        <vt:lpwstr>https://www2.ed.gov/about/offices/list/ocr/transition.html</vt:lpwstr>
      </vt:variant>
      <vt:variant>
        <vt:lpwstr/>
      </vt:variant>
      <vt:variant>
        <vt:i4>6946861</vt:i4>
      </vt:variant>
      <vt:variant>
        <vt:i4>0</vt:i4>
      </vt:variant>
      <vt:variant>
        <vt:i4>0</vt:i4>
      </vt:variant>
      <vt:variant>
        <vt:i4>5</vt:i4>
      </vt:variant>
      <vt:variant>
        <vt:lpwstr>https://www.nccommunitycolleges.edu/analytics/dashboards/cte-perkins-v-summary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Coultas</dc:creator>
  <cp:keywords/>
  <dc:description/>
  <cp:lastModifiedBy>Patti Coultas</cp:lastModifiedBy>
  <cp:revision>37</cp:revision>
  <dcterms:created xsi:type="dcterms:W3CDTF">2023-02-24T18:45:00Z</dcterms:created>
  <dcterms:modified xsi:type="dcterms:W3CDTF">2023-03-11T00:07:00Z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0x01010056FFA20A777A1E45B39AEF474C3214FD</vt:lpwstr>
  </property>
  <property fmtid="{D5CDD505-2E9C-101B-9397-08002B2CF9AE}" pid="3" name="MediaServiceImageTags">
    <vt:lpwstr/>
  </property>
</Properties>
</file>