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28D9" w14:textId="77777777" w:rsidR="00007380" w:rsidRPr="00007380" w:rsidRDefault="00007380" w:rsidP="00007380">
      <w:pPr>
        <w:rPr>
          <w:b/>
          <w:bCs/>
        </w:rPr>
      </w:pPr>
      <w:r w:rsidRPr="00007380">
        <w:rPr>
          <w:b/>
          <w:bCs/>
        </w:rPr>
        <w:t>1. What “Supplement, Not Supplant” Means</w:t>
      </w:r>
    </w:p>
    <w:p w14:paraId="6D2B05B0" w14:textId="77777777" w:rsidR="00007380" w:rsidRPr="00007380" w:rsidRDefault="00007380" w:rsidP="00007380">
      <w:r w:rsidRPr="00007380">
        <w:t>Federal Perkins V funds must add to (supplement) the state and local funds a college already spends on Career and Technical Education (CTE). They cannot replace (supplant) those state or local funds.</w:t>
      </w:r>
    </w:p>
    <w:p w14:paraId="2686309E" w14:textId="77777777" w:rsidR="00007380" w:rsidRPr="00007380" w:rsidRDefault="00007380" w:rsidP="00007380">
      <w:r w:rsidRPr="00007380">
        <w:t>In practice:</w:t>
      </w:r>
    </w:p>
    <w:p w14:paraId="0503E4A9" w14:textId="77777777" w:rsidR="00007380" w:rsidRPr="00007380" w:rsidRDefault="00007380" w:rsidP="00007380">
      <w:pPr>
        <w:numPr>
          <w:ilvl w:val="0"/>
          <w:numId w:val="1"/>
        </w:numPr>
      </w:pPr>
      <w:r w:rsidRPr="00007380">
        <w:t>Supplementing means using Perkins funds to enhance, expand, or improve CTE programs and services beyond what would otherwise be provided with state and local resources.</w:t>
      </w:r>
    </w:p>
    <w:p w14:paraId="0167D0E9" w14:textId="76245D13" w:rsidR="00007380" w:rsidRPr="00007380" w:rsidRDefault="00007380" w:rsidP="00007380">
      <w:pPr>
        <w:numPr>
          <w:ilvl w:val="0"/>
          <w:numId w:val="1"/>
        </w:numPr>
      </w:pPr>
      <w:r w:rsidRPr="00007380">
        <w:t>Supplanting occurs if Perkins funds are used to pay for something the college is already required to provide by law, regulation, or local policy or something that was previously paid for with non-federal funds without a documented change in circumstances.</w:t>
      </w:r>
      <w:r w:rsidR="003C3CA0">
        <w:t xml:space="preserve"> </w:t>
      </w:r>
    </w:p>
    <w:p w14:paraId="79C20581" w14:textId="77777777" w:rsidR="00007380" w:rsidRPr="00007380" w:rsidRDefault="00007380" w:rsidP="00007380">
      <w:pPr>
        <w:rPr>
          <w:b/>
          <w:bCs/>
        </w:rPr>
      </w:pPr>
      <w:r w:rsidRPr="00007380">
        <w:rPr>
          <w:b/>
          <w:bCs/>
        </w:rPr>
        <w:t>2. Indicators of Supplanting</w:t>
      </w:r>
    </w:p>
    <w:p w14:paraId="235A1A7E" w14:textId="77777777" w:rsidR="00007380" w:rsidRPr="00007380" w:rsidRDefault="00007380" w:rsidP="00007380">
      <w:r w:rsidRPr="00007380">
        <w:t>You may be supplanting if:</w:t>
      </w:r>
    </w:p>
    <w:p w14:paraId="52B70FF1" w14:textId="77777777" w:rsidR="00007380" w:rsidRPr="00007380" w:rsidRDefault="00007380" w:rsidP="00007380">
      <w:pPr>
        <w:numPr>
          <w:ilvl w:val="0"/>
          <w:numId w:val="2"/>
        </w:numPr>
      </w:pPr>
      <w:r w:rsidRPr="003C3CA0">
        <w:rPr>
          <w:u w:val="single"/>
        </w:rPr>
        <w:t>Required by Law or Policy</w:t>
      </w:r>
      <w:r w:rsidRPr="00007380">
        <w:br/>
        <w:t>Perkins funds pay for an activity, service, or position the state, district, or college is mandated to provide under state law, local policy, or board rule.</w:t>
      </w:r>
    </w:p>
    <w:p w14:paraId="53EB64EB" w14:textId="77777777" w:rsidR="00007380" w:rsidRPr="00007380" w:rsidRDefault="00007380" w:rsidP="00007380">
      <w:pPr>
        <w:numPr>
          <w:ilvl w:val="0"/>
          <w:numId w:val="2"/>
        </w:numPr>
      </w:pPr>
      <w:r w:rsidRPr="003C3CA0">
        <w:rPr>
          <w:u w:val="single"/>
        </w:rPr>
        <w:t>Prior Year Funding Source</w:t>
      </w:r>
      <w:r w:rsidRPr="00007380">
        <w:br/>
        <w:t>Perkins funds are used to pay for an activity, service, or position previously funded with non-federal funds without a justifiable programmatic reason (such as a documented, unplanned funding shortfall or program redesign).</w:t>
      </w:r>
    </w:p>
    <w:p w14:paraId="088B7972" w14:textId="77777777" w:rsidR="00007380" w:rsidRPr="00007380" w:rsidRDefault="00007380" w:rsidP="00007380">
      <w:pPr>
        <w:numPr>
          <w:ilvl w:val="0"/>
          <w:numId w:val="2"/>
        </w:numPr>
      </w:pPr>
      <w:r w:rsidRPr="003C3CA0">
        <w:rPr>
          <w:u w:val="single"/>
        </w:rPr>
        <w:t>Across-the-Board Cuts Avoidance</w:t>
      </w:r>
      <w:r w:rsidRPr="00007380">
        <w:br/>
        <w:t>Perkins funds replace state or local funds in a way that allows the college to redirect its own resources to non-CTE purposes.</w:t>
      </w:r>
    </w:p>
    <w:p w14:paraId="548D90C0" w14:textId="77777777" w:rsidR="00007380" w:rsidRPr="00007380" w:rsidRDefault="00007380" w:rsidP="00007380">
      <w:pPr>
        <w:rPr>
          <w:b/>
          <w:bCs/>
        </w:rPr>
      </w:pPr>
      <w:r w:rsidRPr="00007380">
        <w:rPr>
          <w:b/>
          <w:bCs/>
        </w:rPr>
        <w:t>3. Examples</w:t>
      </w:r>
    </w:p>
    <w:p w14:paraId="55F6FC67" w14:textId="77777777" w:rsidR="00007380" w:rsidRPr="00007380" w:rsidRDefault="00007380" w:rsidP="00007380">
      <w:r w:rsidRPr="00007380">
        <w:rPr>
          <w:b/>
          <w:bCs/>
        </w:rPr>
        <w:t>Allowable (Supplementing)</w:t>
      </w:r>
    </w:p>
    <w:p w14:paraId="7F3DCF69" w14:textId="65C79E7F" w:rsidR="00007380" w:rsidRPr="00007380" w:rsidRDefault="00007380" w:rsidP="00007380">
      <w:pPr>
        <w:numPr>
          <w:ilvl w:val="0"/>
          <w:numId w:val="3"/>
        </w:numPr>
      </w:pPr>
      <w:r w:rsidRPr="00007380">
        <w:t xml:space="preserve">Purchasing new equipment to expand </w:t>
      </w:r>
      <w:r w:rsidR="00651DCA" w:rsidRPr="00007380">
        <w:t>the CTE</w:t>
      </w:r>
      <w:r w:rsidRPr="00007380">
        <w:t xml:space="preserve"> program into an emerging industry area not previously offered.</w:t>
      </w:r>
    </w:p>
    <w:p w14:paraId="014AE0BD" w14:textId="77777777" w:rsidR="00007380" w:rsidRPr="00007380" w:rsidRDefault="00007380" w:rsidP="00007380">
      <w:pPr>
        <w:numPr>
          <w:ilvl w:val="0"/>
          <w:numId w:val="3"/>
        </w:numPr>
      </w:pPr>
      <w:r w:rsidRPr="00007380">
        <w:t xml:space="preserve">Funding industry-recognized credential exams for CTE students when the college has </w:t>
      </w:r>
      <w:proofErr w:type="gramStart"/>
      <w:r w:rsidRPr="00007380">
        <w:t>never before</w:t>
      </w:r>
      <w:proofErr w:type="gramEnd"/>
      <w:r w:rsidRPr="00007380">
        <w:t xml:space="preserve"> offered or paid for these exams.</w:t>
      </w:r>
    </w:p>
    <w:p w14:paraId="309C7439" w14:textId="77777777" w:rsidR="00007380" w:rsidRPr="00007380" w:rsidRDefault="00007380" w:rsidP="00007380">
      <w:pPr>
        <w:numPr>
          <w:ilvl w:val="0"/>
          <w:numId w:val="3"/>
        </w:numPr>
      </w:pPr>
      <w:r w:rsidRPr="00007380">
        <w:t>Providing specialized professional development on cutting-edge industry technologies for CTE faculty beyond standard PD offerings.</w:t>
      </w:r>
    </w:p>
    <w:p w14:paraId="7D238612" w14:textId="77777777" w:rsidR="00007380" w:rsidRPr="00007380" w:rsidRDefault="00007380" w:rsidP="00007380">
      <w:r w:rsidRPr="00007380">
        <w:rPr>
          <w:b/>
          <w:bCs/>
        </w:rPr>
        <w:t>Not Allowable (Supplanting)</w:t>
      </w:r>
    </w:p>
    <w:p w14:paraId="56DB644D" w14:textId="77777777" w:rsidR="00007380" w:rsidRPr="00007380" w:rsidRDefault="00007380" w:rsidP="00007380">
      <w:pPr>
        <w:numPr>
          <w:ilvl w:val="0"/>
          <w:numId w:val="4"/>
        </w:numPr>
      </w:pPr>
      <w:r w:rsidRPr="00007380">
        <w:t xml:space="preserve">Using Perkins funds to pay the salary of an existing instructor previously funded with state funds, unless there is a </w:t>
      </w:r>
      <w:proofErr w:type="gramStart"/>
      <w:r w:rsidRPr="00007380">
        <w:t>documented</w:t>
      </w:r>
      <w:proofErr w:type="gramEnd"/>
      <w:r w:rsidRPr="00007380">
        <w:t>, allowable change in circumstances.</w:t>
      </w:r>
    </w:p>
    <w:p w14:paraId="39A3B4AA" w14:textId="77B15BB2" w:rsidR="00007380" w:rsidRPr="00007380" w:rsidRDefault="00007380" w:rsidP="00007380">
      <w:pPr>
        <w:numPr>
          <w:ilvl w:val="0"/>
          <w:numId w:val="4"/>
        </w:numPr>
      </w:pPr>
      <w:r w:rsidRPr="00007380">
        <w:t xml:space="preserve">Replacing college-funded CTE </w:t>
      </w:r>
      <w:r w:rsidR="003C3CA0" w:rsidRPr="00007380">
        <w:t>materials</w:t>
      </w:r>
      <w:r w:rsidRPr="00007380">
        <w:t xml:space="preserve"> with Perkins funds so that local dollars can be used elsewhere.</w:t>
      </w:r>
    </w:p>
    <w:p w14:paraId="5856BDAA" w14:textId="063672C7" w:rsidR="00007380" w:rsidRPr="00007380" w:rsidRDefault="00007380" w:rsidP="00007380">
      <w:pPr>
        <w:numPr>
          <w:ilvl w:val="0"/>
          <w:numId w:val="4"/>
        </w:numPr>
      </w:pPr>
      <w:r w:rsidRPr="00007380">
        <w:lastRenderedPageBreak/>
        <w:t>Covering costs of mandated safety training</w:t>
      </w:r>
      <w:r w:rsidR="003C3CA0" w:rsidRPr="00007380">
        <w:t xml:space="preserve"> </w:t>
      </w:r>
      <w:proofErr w:type="gramStart"/>
      <w:r w:rsidR="003C3CA0" w:rsidRPr="00007380">
        <w:t>required</w:t>
      </w:r>
      <w:proofErr w:type="gramEnd"/>
      <w:r w:rsidRPr="00007380">
        <w:t xml:space="preserve"> for all students across the institution.</w:t>
      </w:r>
    </w:p>
    <w:p w14:paraId="13E52A26" w14:textId="77777777" w:rsidR="00007380" w:rsidRPr="00007380" w:rsidRDefault="00007380" w:rsidP="00007380">
      <w:pPr>
        <w:rPr>
          <w:b/>
          <w:bCs/>
        </w:rPr>
      </w:pPr>
      <w:r w:rsidRPr="00007380">
        <w:rPr>
          <w:b/>
          <w:bCs/>
        </w:rPr>
        <w:t>4. Documentation is Key</w:t>
      </w:r>
    </w:p>
    <w:p w14:paraId="598EBA03" w14:textId="77777777" w:rsidR="00007380" w:rsidRPr="00007380" w:rsidRDefault="00007380" w:rsidP="00007380">
      <w:r w:rsidRPr="00007380">
        <w:t>To defend against a finding of supplanting, maintain clear written evidence showing:</w:t>
      </w:r>
    </w:p>
    <w:p w14:paraId="5382E67F" w14:textId="77777777" w:rsidR="00007380" w:rsidRPr="00007380" w:rsidRDefault="00007380" w:rsidP="00007380">
      <w:pPr>
        <w:numPr>
          <w:ilvl w:val="0"/>
          <w:numId w:val="5"/>
        </w:numPr>
      </w:pPr>
      <w:r w:rsidRPr="00007380">
        <w:t>The need for the expenditure.</w:t>
      </w:r>
    </w:p>
    <w:p w14:paraId="5FD17512" w14:textId="2492289C" w:rsidR="00007380" w:rsidRPr="00007380" w:rsidRDefault="00007380" w:rsidP="00007380">
      <w:pPr>
        <w:numPr>
          <w:ilvl w:val="0"/>
          <w:numId w:val="5"/>
        </w:numPr>
      </w:pPr>
      <w:r w:rsidRPr="00007380">
        <w:t xml:space="preserve">How it aligns with the college’s Comprehensive Local Needs Assessment (CLNA) and Local </w:t>
      </w:r>
      <w:r w:rsidR="003C3CA0">
        <w:t>Plan</w:t>
      </w:r>
      <w:r w:rsidRPr="00007380">
        <w:t>.</w:t>
      </w:r>
    </w:p>
    <w:p w14:paraId="018512B4" w14:textId="77777777" w:rsidR="00007380" w:rsidRPr="00007380" w:rsidRDefault="00007380" w:rsidP="00007380">
      <w:pPr>
        <w:numPr>
          <w:ilvl w:val="0"/>
          <w:numId w:val="5"/>
        </w:numPr>
      </w:pPr>
      <w:r w:rsidRPr="00007380">
        <w:t>That the cost is above and beyond what is required or previously provided with non-federal funds.</w:t>
      </w:r>
    </w:p>
    <w:p w14:paraId="692B2ABA" w14:textId="77777777" w:rsidR="00007380" w:rsidRDefault="00007380" w:rsidP="00007380">
      <w:pPr>
        <w:numPr>
          <w:ilvl w:val="0"/>
          <w:numId w:val="5"/>
        </w:numPr>
      </w:pPr>
      <w:r w:rsidRPr="00007380">
        <w:t xml:space="preserve">Any change in circumstances (e.g., loss of local revenue, new </w:t>
      </w:r>
      <w:proofErr w:type="gramStart"/>
      <w:r w:rsidRPr="00007380">
        <w:t>program launch</w:t>
      </w:r>
      <w:proofErr w:type="gramEnd"/>
      <w:r w:rsidRPr="00007380">
        <w:t xml:space="preserve">) that justifies a shift in funding </w:t>
      </w:r>
      <w:proofErr w:type="gramStart"/>
      <w:r w:rsidRPr="00007380">
        <w:t>source</w:t>
      </w:r>
      <w:proofErr w:type="gramEnd"/>
      <w:r w:rsidRPr="00007380">
        <w:t>.</w:t>
      </w:r>
    </w:p>
    <w:p w14:paraId="477260B5" w14:textId="77777777" w:rsidR="00007380" w:rsidRPr="00007380" w:rsidRDefault="00007380" w:rsidP="00007380">
      <w:pPr>
        <w:rPr>
          <w:b/>
          <w:bCs/>
        </w:rPr>
      </w:pPr>
      <w:r w:rsidRPr="00007380">
        <w:rPr>
          <w:b/>
          <w:bCs/>
        </w:rPr>
        <w:t>Quick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3796"/>
        <w:gridCol w:w="4209"/>
      </w:tblGrid>
      <w:tr w:rsidR="00007380" w:rsidRPr="00007380" w14:paraId="4C1CE34B" w14:textId="77777777" w:rsidTr="003C3CA0">
        <w:trPr>
          <w:tblHeader/>
          <w:tblCellSpacing w:w="15" w:type="dxa"/>
        </w:trPr>
        <w:tc>
          <w:tcPr>
            <w:tcW w:w="1300" w:type="dxa"/>
            <w:vAlign w:val="center"/>
            <w:hideMark/>
          </w:tcPr>
          <w:p w14:paraId="09F4E25D" w14:textId="77777777" w:rsidR="00007380" w:rsidRPr="00007380" w:rsidRDefault="00007380" w:rsidP="00007380">
            <w:pPr>
              <w:rPr>
                <w:b/>
                <w:bCs/>
              </w:rPr>
            </w:pPr>
            <w:r w:rsidRPr="00007380">
              <w:rPr>
                <w:b/>
                <w:bCs/>
              </w:rPr>
              <w:t>Term</w:t>
            </w:r>
          </w:p>
        </w:tc>
        <w:tc>
          <w:tcPr>
            <w:tcW w:w="3766" w:type="dxa"/>
            <w:vAlign w:val="center"/>
            <w:hideMark/>
          </w:tcPr>
          <w:p w14:paraId="129CBEC3" w14:textId="77777777" w:rsidR="00007380" w:rsidRPr="00007380" w:rsidRDefault="00007380" w:rsidP="00007380">
            <w:pPr>
              <w:rPr>
                <w:b/>
                <w:bCs/>
              </w:rPr>
            </w:pPr>
            <w:r w:rsidRPr="00007380">
              <w:rPr>
                <w:b/>
                <w:bCs/>
              </w:rPr>
              <w:t>Meaning</w:t>
            </w:r>
          </w:p>
        </w:tc>
        <w:tc>
          <w:tcPr>
            <w:tcW w:w="0" w:type="auto"/>
            <w:vAlign w:val="center"/>
            <w:hideMark/>
          </w:tcPr>
          <w:p w14:paraId="224F026D" w14:textId="77777777" w:rsidR="00007380" w:rsidRPr="00007380" w:rsidRDefault="00007380" w:rsidP="00007380">
            <w:pPr>
              <w:rPr>
                <w:b/>
                <w:bCs/>
              </w:rPr>
            </w:pPr>
            <w:r w:rsidRPr="00007380">
              <w:rPr>
                <w:b/>
                <w:bCs/>
              </w:rPr>
              <w:t>Key Question</w:t>
            </w:r>
          </w:p>
        </w:tc>
      </w:tr>
      <w:tr w:rsidR="00007380" w:rsidRPr="00007380" w14:paraId="2C55F707" w14:textId="77777777" w:rsidTr="003C3CA0">
        <w:trPr>
          <w:tblCellSpacing w:w="15" w:type="dxa"/>
        </w:trPr>
        <w:tc>
          <w:tcPr>
            <w:tcW w:w="1300" w:type="dxa"/>
            <w:vAlign w:val="center"/>
            <w:hideMark/>
          </w:tcPr>
          <w:p w14:paraId="0B4889F8" w14:textId="77777777" w:rsidR="00007380" w:rsidRPr="00007380" w:rsidRDefault="00007380" w:rsidP="00007380">
            <w:r w:rsidRPr="00007380">
              <w:rPr>
                <w:b/>
                <w:bCs/>
              </w:rPr>
              <w:t>Supplement</w:t>
            </w:r>
          </w:p>
        </w:tc>
        <w:tc>
          <w:tcPr>
            <w:tcW w:w="3766" w:type="dxa"/>
            <w:vAlign w:val="center"/>
            <w:hideMark/>
          </w:tcPr>
          <w:p w14:paraId="78E19AC6" w14:textId="77777777" w:rsidR="00007380" w:rsidRPr="00007380" w:rsidRDefault="00007380" w:rsidP="00007380">
            <w:r w:rsidRPr="00007380">
              <w:t>Add to existing state/local CTE spending to expand, enhance, or improve programs</w:t>
            </w:r>
          </w:p>
        </w:tc>
        <w:tc>
          <w:tcPr>
            <w:tcW w:w="0" w:type="auto"/>
            <w:vAlign w:val="center"/>
            <w:hideMark/>
          </w:tcPr>
          <w:p w14:paraId="01FB9A2A" w14:textId="77777777" w:rsidR="00007380" w:rsidRPr="00007380" w:rsidRDefault="00007380" w:rsidP="00007380">
            <w:r w:rsidRPr="00007380">
              <w:t>“Does this provide something new or better for CTE students?”</w:t>
            </w:r>
          </w:p>
        </w:tc>
      </w:tr>
      <w:tr w:rsidR="00007380" w:rsidRPr="00007380" w14:paraId="6711239C" w14:textId="77777777" w:rsidTr="003C3CA0">
        <w:trPr>
          <w:tblCellSpacing w:w="15" w:type="dxa"/>
        </w:trPr>
        <w:tc>
          <w:tcPr>
            <w:tcW w:w="1300" w:type="dxa"/>
            <w:vAlign w:val="center"/>
            <w:hideMark/>
          </w:tcPr>
          <w:p w14:paraId="78F2A31B" w14:textId="77777777" w:rsidR="00007380" w:rsidRPr="00007380" w:rsidRDefault="00007380" w:rsidP="00007380">
            <w:r w:rsidRPr="00007380">
              <w:rPr>
                <w:b/>
                <w:bCs/>
              </w:rPr>
              <w:t>Supplant</w:t>
            </w:r>
          </w:p>
        </w:tc>
        <w:tc>
          <w:tcPr>
            <w:tcW w:w="3766" w:type="dxa"/>
            <w:vAlign w:val="center"/>
            <w:hideMark/>
          </w:tcPr>
          <w:p w14:paraId="0F68324E" w14:textId="77777777" w:rsidR="00007380" w:rsidRPr="00007380" w:rsidRDefault="00007380" w:rsidP="00007380">
            <w:r w:rsidRPr="00007380">
              <w:t>Replace existing state/local CTE spending with federal funds</w:t>
            </w:r>
          </w:p>
        </w:tc>
        <w:tc>
          <w:tcPr>
            <w:tcW w:w="0" w:type="auto"/>
            <w:vAlign w:val="center"/>
            <w:hideMark/>
          </w:tcPr>
          <w:p w14:paraId="2B5E989A" w14:textId="77777777" w:rsidR="00007380" w:rsidRPr="00007380" w:rsidRDefault="00007380" w:rsidP="00007380">
            <w:r w:rsidRPr="00007380">
              <w:t>“Are we using federal funds to pay for something we already do or are required to do?”</w:t>
            </w:r>
          </w:p>
        </w:tc>
      </w:tr>
    </w:tbl>
    <w:p w14:paraId="3B49B2B3" w14:textId="796A5EB7" w:rsidR="00A9638B" w:rsidRDefault="00A9638B" w:rsidP="00B70F27"/>
    <w:p w14:paraId="409C6243" w14:textId="77777777" w:rsidR="004D794F" w:rsidRPr="004D794F" w:rsidRDefault="004D794F" w:rsidP="004D794F">
      <w:r w:rsidRPr="004D794F">
        <w:rPr>
          <w:b/>
          <w:bCs/>
        </w:rPr>
        <w:t>NCCCS Guidance:</w:t>
      </w:r>
      <w:r w:rsidRPr="004D794F">
        <w:br/>
        <w:t>When transitioning a cost from another funding source to Perkins, colleges should either:</w:t>
      </w:r>
    </w:p>
    <w:p w14:paraId="4A727988" w14:textId="77777777" w:rsidR="004D794F" w:rsidRPr="004D794F" w:rsidRDefault="004D794F" w:rsidP="004D794F">
      <w:pPr>
        <w:numPr>
          <w:ilvl w:val="0"/>
          <w:numId w:val="6"/>
        </w:numPr>
      </w:pPr>
      <w:r w:rsidRPr="004D794F">
        <w:rPr>
          <w:b/>
          <w:bCs/>
        </w:rPr>
        <w:t>Include a gap year</w:t>
      </w:r>
      <w:r w:rsidRPr="004D794F">
        <w:t xml:space="preserve"> between funding streams, </w:t>
      </w:r>
      <w:r w:rsidRPr="004D794F">
        <w:rPr>
          <w:b/>
          <w:bCs/>
        </w:rPr>
        <w:t>or</w:t>
      </w:r>
    </w:p>
    <w:p w14:paraId="24AD4467" w14:textId="77777777" w:rsidR="004D794F" w:rsidRPr="004D794F" w:rsidRDefault="004D794F" w:rsidP="004D794F">
      <w:pPr>
        <w:numPr>
          <w:ilvl w:val="0"/>
          <w:numId w:val="6"/>
        </w:numPr>
      </w:pPr>
      <w:r w:rsidRPr="004D794F">
        <w:rPr>
          <w:b/>
          <w:bCs/>
        </w:rPr>
        <w:t>Provide clear documentation</w:t>
      </w:r>
      <w:r w:rsidRPr="004D794F">
        <w:t xml:space="preserve"> showing that the previous funding source is no longer available.</w:t>
      </w:r>
    </w:p>
    <w:p w14:paraId="360FA3DB" w14:textId="3C1E551B" w:rsidR="002E3FEB" w:rsidRDefault="002E3FEB" w:rsidP="00B70F27">
      <w:r w:rsidRPr="002E3FEB">
        <w:rPr>
          <w:b/>
          <w:bCs/>
        </w:rPr>
        <w:t>*Additional information</w:t>
      </w:r>
      <w:r>
        <w:t xml:space="preserve"> on this topic can be found in Appendix C of the 2025-2026 Perkins Handbook.</w:t>
      </w:r>
    </w:p>
    <w:p w14:paraId="6FE85F22" w14:textId="77777777" w:rsidR="00057FCF" w:rsidRDefault="00057FCF" w:rsidP="00B70F27"/>
    <w:p w14:paraId="6A8D22EB" w14:textId="401391B3" w:rsidR="00057FCF" w:rsidRDefault="00057FCF" w:rsidP="00B70F27">
      <w:r>
        <w:t>Last updated on 08/</w:t>
      </w:r>
      <w:r w:rsidR="00A466E4">
        <w:t>15/2025</w:t>
      </w:r>
    </w:p>
    <w:sectPr w:rsidR="00057FC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4A24" w14:textId="77777777" w:rsidR="00057FCF" w:rsidRDefault="00057FCF" w:rsidP="00057FCF">
      <w:pPr>
        <w:spacing w:after="0" w:line="240" w:lineRule="auto"/>
      </w:pPr>
      <w:r>
        <w:separator/>
      </w:r>
    </w:p>
  </w:endnote>
  <w:endnote w:type="continuationSeparator" w:id="0">
    <w:p w14:paraId="34974D4B" w14:textId="77777777" w:rsidR="00057FCF" w:rsidRDefault="00057FCF" w:rsidP="0005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E5D4" w14:textId="77777777" w:rsidR="00057FCF" w:rsidRDefault="00057FCF" w:rsidP="00057FCF">
      <w:pPr>
        <w:spacing w:after="0" w:line="240" w:lineRule="auto"/>
      </w:pPr>
      <w:r>
        <w:separator/>
      </w:r>
    </w:p>
  </w:footnote>
  <w:footnote w:type="continuationSeparator" w:id="0">
    <w:p w14:paraId="5EDA72BB" w14:textId="77777777" w:rsidR="00057FCF" w:rsidRDefault="00057FCF" w:rsidP="00057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CC41" w14:textId="494F5567" w:rsidR="00057FCF" w:rsidRDefault="00057FCF">
    <w:pPr>
      <w:pStyle w:val="Header"/>
    </w:pPr>
    <w:r>
      <w:rPr>
        <w:noProof/>
      </w:rPr>
      <mc:AlternateContent>
        <mc:Choice Requires="wps">
          <w:drawing>
            <wp:anchor distT="0" distB="0" distL="118745" distR="118745" simplePos="0" relativeHeight="251659264" behindDoc="1" locked="0" layoutInCell="1" allowOverlap="0" wp14:anchorId="038C2730" wp14:editId="32C81CF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0F03A75" w14:textId="04FA4DE2" w:rsidR="00057FCF" w:rsidRDefault="00057FCF">
                              <w:pPr>
                                <w:pStyle w:val="Header"/>
                                <w:tabs>
                                  <w:tab w:val="clear" w:pos="4680"/>
                                  <w:tab w:val="clear" w:pos="9360"/>
                                </w:tabs>
                                <w:jc w:val="center"/>
                                <w:rPr>
                                  <w:caps/>
                                  <w:color w:val="FFFFFF" w:themeColor="background1"/>
                                </w:rPr>
                              </w:pPr>
                              <w:r w:rsidRPr="00057FCF">
                                <w:rPr>
                                  <w:caps/>
                                  <w:color w:val="FFFFFF" w:themeColor="background1"/>
                                </w:rPr>
                                <w:t xml:space="preserve">Supplement vs. Supplant Guidance - Sec. 211(a)*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38C273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0F03A75" w14:textId="04FA4DE2" w:rsidR="00057FCF" w:rsidRDefault="00057FCF">
                        <w:pPr>
                          <w:pStyle w:val="Header"/>
                          <w:tabs>
                            <w:tab w:val="clear" w:pos="4680"/>
                            <w:tab w:val="clear" w:pos="9360"/>
                          </w:tabs>
                          <w:jc w:val="center"/>
                          <w:rPr>
                            <w:caps/>
                            <w:color w:val="FFFFFF" w:themeColor="background1"/>
                          </w:rPr>
                        </w:pPr>
                        <w:r w:rsidRPr="00057FCF">
                          <w:rPr>
                            <w:caps/>
                            <w:color w:val="FFFFFF" w:themeColor="background1"/>
                          </w:rPr>
                          <w:t xml:space="preserve">Supplement vs. Supplant Guidance - Sec. 211(a)*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1EA3"/>
    <w:multiLevelType w:val="multilevel"/>
    <w:tmpl w:val="1D7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A71900"/>
    <w:multiLevelType w:val="multilevel"/>
    <w:tmpl w:val="711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0507F"/>
    <w:multiLevelType w:val="multilevel"/>
    <w:tmpl w:val="AA60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1A612E"/>
    <w:multiLevelType w:val="multilevel"/>
    <w:tmpl w:val="E3B2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FF76E5"/>
    <w:multiLevelType w:val="multilevel"/>
    <w:tmpl w:val="2558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D58DB"/>
    <w:multiLevelType w:val="multilevel"/>
    <w:tmpl w:val="2DF2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879357">
    <w:abstractNumId w:val="1"/>
  </w:num>
  <w:num w:numId="2" w16cid:durableId="793132842">
    <w:abstractNumId w:val="5"/>
  </w:num>
  <w:num w:numId="3" w16cid:durableId="2088065753">
    <w:abstractNumId w:val="4"/>
  </w:num>
  <w:num w:numId="4" w16cid:durableId="836307852">
    <w:abstractNumId w:val="3"/>
  </w:num>
  <w:num w:numId="5" w16cid:durableId="623274813">
    <w:abstractNumId w:val="0"/>
  </w:num>
  <w:num w:numId="6" w16cid:durableId="1972318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80"/>
    <w:rsid w:val="00007380"/>
    <w:rsid w:val="00057FCF"/>
    <w:rsid w:val="002B0E05"/>
    <w:rsid w:val="002E3FEB"/>
    <w:rsid w:val="002E4C5D"/>
    <w:rsid w:val="003C3CA0"/>
    <w:rsid w:val="00400CB2"/>
    <w:rsid w:val="004567D8"/>
    <w:rsid w:val="004D794F"/>
    <w:rsid w:val="00646931"/>
    <w:rsid w:val="00651DCA"/>
    <w:rsid w:val="00764881"/>
    <w:rsid w:val="008002BD"/>
    <w:rsid w:val="008200EC"/>
    <w:rsid w:val="008E1496"/>
    <w:rsid w:val="00A466E4"/>
    <w:rsid w:val="00A9638B"/>
    <w:rsid w:val="00B70F27"/>
    <w:rsid w:val="00E66894"/>
    <w:rsid w:val="00EB4C6A"/>
    <w:rsid w:val="00F74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0CDAD"/>
  <w15:chartTrackingRefBased/>
  <w15:docId w15:val="{9D41C70F-3CA7-4BDC-8C76-5A00479D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D8"/>
    <w:rPr>
      <w:rFonts w:ascii="Calibri Light" w:hAnsi="Calibri Light"/>
    </w:rPr>
  </w:style>
  <w:style w:type="paragraph" w:styleId="Heading1">
    <w:name w:val="heading 1"/>
    <w:basedOn w:val="Normal"/>
    <w:next w:val="Normal"/>
    <w:link w:val="Heading1Char"/>
    <w:autoRedefine/>
    <w:uiPriority w:val="9"/>
    <w:qFormat/>
    <w:rsid w:val="004567D8"/>
    <w:pPr>
      <w:keepNext/>
      <w:keepLines/>
      <w:spacing w:before="360" w:after="80"/>
      <w:outlineLvl w:val="0"/>
    </w:pPr>
    <w:rPr>
      <w:rFonts w:ascii="Calibri" w:eastAsiaTheme="majorEastAsia" w:hAnsi="Calibr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4567D8"/>
    <w:pPr>
      <w:keepNext/>
      <w:keepLines/>
      <w:spacing w:before="160" w:after="80"/>
      <w:outlineLvl w:val="1"/>
    </w:pPr>
    <w:rPr>
      <w:rFonts w:ascii="Calibri" w:eastAsiaTheme="majorEastAsia" w:hAnsi="Calibri" w:cstheme="majorBidi"/>
      <w:color w:val="0F4761" w:themeColor="accent1" w:themeShade="BF"/>
      <w:sz w:val="32"/>
      <w:szCs w:val="32"/>
    </w:rPr>
  </w:style>
  <w:style w:type="paragraph" w:styleId="Heading3">
    <w:name w:val="heading 3"/>
    <w:basedOn w:val="Normal"/>
    <w:next w:val="Normal"/>
    <w:link w:val="Heading3Char"/>
    <w:autoRedefine/>
    <w:uiPriority w:val="9"/>
    <w:semiHidden/>
    <w:unhideWhenUsed/>
    <w:qFormat/>
    <w:rsid w:val="004567D8"/>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0073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73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73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73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73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73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567D8"/>
    <w:pPr>
      <w:spacing w:after="80" w:line="240" w:lineRule="auto"/>
      <w:contextualSpacing/>
    </w:pPr>
    <w:rPr>
      <w:rFonts w:ascii="Calibri bold" w:eastAsiaTheme="majorEastAsia" w:hAnsi="Calibri bold" w:cstheme="majorBidi"/>
      <w:b/>
      <w:spacing w:val="-10"/>
      <w:kern w:val="28"/>
      <w:sz w:val="56"/>
      <w:szCs w:val="56"/>
    </w:rPr>
  </w:style>
  <w:style w:type="character" w:customStyle="1" w:styleId="TitleChar">
    <w:name w:val="Title Char"/>
    <w:basedOn w:val="DefaultParagraphFont"/>
    <w:link w:val="Title"/>
    <w:uiPriority w:val="10"/>
    <w:rsid w:val="004567D8"/>
    <w:rPr>
      <w:rFonts w:ascii="Calibri bold" w:eastAsiaTheme="majorEastAsia" w:hAnsi="Calibri bold" w:cstheme="majorBidi"/>
      <w:b/>
      <w:spacing w:val="-10"/>
      <w:kern w:val="28"/>
      <w:sz w:val="56"/>
      <w:szCs w:val="56"/>
    </w:rPr>
  </w:style>
  <w:style w:type="character" w:customStyle="1" w:styleId="Heading1Char">
    <w:name w:val="Heading 1 Char"/>
    <w:basedOn w:val="DefaultParagraphFont"/>
    <w:link w:val="Heading1"/>
    <w:uiPriority w:val="9"/>
    <w:rsid w:val="004567D8"/>
    <w:rPr>
      <w:rFonts w:ascii="Calibri" w:eastAsiaTheme="majorEastAsia" w:hAnsi="Calibr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7D8"/>
    <w:rPr>
      <w:rFonts w:ascii="Calibri" w:eastAsiaTheme="majorEastAsia" w:hAnsi="Calibr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7D8"/>
    <w:rPr>
      <w:rFonts w:ascii="Calibri Light" w:eastAsiaTheme="majorEastAsia" w:hAnsi="Calibri Light" w:cstheme="majorBidi"/>
      <w:b/>
      <w:color w:val="0F4761" w:themeColor="accent1" w:themeShade="BF"/>
      <w:sz w:val="28"/>
      <w:szCs w:val="28"/>
    </w:rPr>
  </w:style>
  <w:style w:type="character" w:styleId="Strong">
    <w:name w:val="Strong"/>
    <w:basedOn w:val="DefaultParagraphFont"/>
    <w:uiPriority w:val="22"/>
    <w:qFormat/>
    <w:rsid w:val="004567D8"/>
    <w:rPr>
      <w:rFonts w:ascii="Calibri" w:hAnsi="Calibri"/>
      <w:b/>
      <w:bCs/>
    </w:rPr>
  </w:style>
  <w:style w:type="character" w:customStyle="1" w:styleId="Heading4Char">
    <w:name w:val="Heading 4 Char"/>
    <w:basedOn w:val="DefaultParagraphFont"/>
    <w:link w:val="Heading4"/>
    <w:uiPriority w:val="9"/>
    <w:semiHidden/>
    <w:rsid w:val="00007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380"/>
    <w:rPr>
      <w:rFonts w:eastAsiaTheme="majorEastAsia" w:cstheme="majorBidi"/>
      <w:color w:val="272727" w:themeColor="text1" w:themeTint="D8"/>
    </w:rPr>
  </w:style>
  <w:style w:type="paragraph" w:styleId="Subtitle">
    <w:name w:val="Subtitle"/>
    <w:basedOn w:val="Normal"/>
    <w:next w:val="Normal"/>
    <w:link w:val="SubtitleChar"/>
    <w:uiPriority w:val="11"/>
    <w:qFormat/>
    <w:rsid w:val="000073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380"/>
    <w:pPr>
      <w:spacing w:before="160"/>
      <w:jc w:val="center"/>
    </w:pPr>
    <w:rPr>
      <w:i/>
      <w:iCs/>
      <w:color w:val="404040" w:themeColor="text1" w:themeTint="BF"/>
    </w:rPr>
  </w:style>
  <w:style w:type="character" w:customStyle="1" w:styleId="QuoteChar">
    <w:name w:val="Quote Char"/>
    <w:basedOn w:val="DefaultParagraphFont"/>
    <w:link w:val="Quote"/>
    <w:uiPriority w:val="29"/>
    <w:rsid w:val="00007380"/>
    <w:rPr>
      <w:rFonts w:ascii="Calibri Light" w:hAnsi="Calibri Light"/>
      <w:i/>
      <w:iCs/>
      <w:color w:val="404040" w:themeColor="text1" w:themeTint="BF"/>
    </w:rPr>
  </w:style>
  <w:style w:type="paragraph" w:styleId="ListParagraph">
    <w:name w:val="List Paragraph"/>
    <w:basedOn w:val="Normal"/>
    <w:uiPriority w:val="34"/>
    <w:qFormat/>
    <w:rsid w:val="00007380"/>
    <w:pPr>
      <w:ind w:left="720"/>
      <w:contextualSpacing/>
    </w:pPr>
  </w:style>
  <w:style w:type="character" w:styleId="IntenseEmphasis">
    <w:name w:val="Intense Emphasis"/>
    <w:basedOn w:val="DefaultParagraphFont"/>
    <w:uiPriority w:val="21"/>
    <w:qFormat/>
    <w:rsid w:val="00007380"/>
    <w:rPr>
      <w:i/>
      <w:iCs/>
      <w:color w:val="0F4761" w:themeColor="accent1" w:themeShade="BF"/>
    </w:rPr>
  </w:style>
  <w:style w:type="paragraph" w:styleId="IntenseQuote">
    <w:name w:val="Intense Quote"/>
    <w:basedOn w:val="Normal"/>
    <w:next w:val="Normal"/>
    <w:link w:val="IntenseQuoteChar"/>
    <w:uiPriority w:val="30"/>
    <w:qFormat/>
    <w:rsid w:val="00007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380"/>
    <w:rPr>
      <w:rFonts w:ascii="Calibri Light" w:hAnsi="Calibri Light"/>
      <w:i/>
      <w:iCs/>
      <w:color w:val="0F4761" w:themeColor="accent1" w:themeShade="BF"/>
    </w:rPr>
  </w:style>
  <w:style w:type="character" w:styleId="IntenseReference">
    <w:name w:val="Intense Reference"/>
    <w:basedOn w:val="DefaultParagraphFont"/>
    <w:uiPriority w:val="32"/>
    <w:qFormat/>
    <w:rsid w:val="00007380"/>
    <w:rPr>
      <w:b/>
      <w:bCs/>
      <w:smallCaps/>
      <w:color w:val="0F4761" w:themeColor="accent1" w:themeShade="BF"/>
      <w:spacing w:val="5"/>
    </w:rPr>
  </w:style>
  <w:style w:type="paragraph" w:styleId="Header">
    <w:name w:val="header"/>
    <w:basedOn w:val="Normal"/>
    <w:link w:val="HeaderChar"/>
    <w:uiPriority w:val="99"/>
    <w:unhideWhenUsed/>
    <w:rsid w:val="00057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CF"/>
    <w:rPr>
      <w:rFonts w:ascii="Calibri Light" w:hAnsi="Calibri Light"/>
    </w:rPr>
  </w:style>
  <w:style w:type="paragraph" w:styleId="Footer">
    <w:name w:val="footer"/>
    <w:basedOn w:val="Normal"/>
    <w:link w:val="FooterChar"/>
    <w:uiPriority w:val="99"/>
    <w:unhideWhenUsed/>
    <w:rsid w:val="00057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CF"/>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48569-d889-4cab-8fb7-f97de583ec0f" xsi:nil="true"/>
    <lcf76f155ced4ddcb4097134ff3c332f xmlns="072444cc-eec3-4352-8fcb-179150d177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35714A6A3754F99BA419DBF1BC9D6" ma:contentTypeVersion="16" ma:contentTypeDescription="Create a new document." ma:contentTypeScope="" ma:versionID="664cde8594d582eeff13f1480cd92bcc">
  <xsd:schema xmlns:xsd="http://www.w3.org/2001/XMLSchema" xmlns:xs="http://www.w3.org/2001/XMLSchema" xmlns:p="http://schemas.microsoft.com/office/2006/metadata/properties" xmlns:ns2="072444cc-eec3-4352-8fcb-179150d177a5" xmlns:ns3="a3648569-d889-4cab-8fb7-f97de583ec0f" targetNamespace="http://schemas.microsoft.com/office/2006/metadata/properties" ma:root="true" ma:fieldsID="b674f18b6b3392123abf8f30d1f9bfcb" ns2:_="" ns3:_="">
    <xsd:import namespace="072444cc-eec3-4352-8fcb-179150d177a5"/>
    <xsd:import namespace="a3648569-d889-4cab-8fb7-f97de583e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44cc-eec3-4352-8fcb-179150d17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410e6b-3f3a-46d5-b089-fcc12dc488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648569-d889-4cab-8fb7-f97de583e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223b4f3-e477-4c24-8cf9-751aee7eab28}" ma:internalName="TaxCatchAll" ma:showField="CatchAllData" ma:web="a3648569-d889-4cab-8fb7-f97de583e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303F4-3AE7-4FE4-B1E0-F48EBD8D38A1}">
  <ds:schemaRefs>
    <ds:schemaRef ds:uri="http://schemas.microsoft.com/office/infopath/2007/PartnerControls"/>
    <ds:schemaRef ds:uri="http://schemas.microsoft.com/office/2006/documentManagement/types"/>
    <ds:schemaRef ds:uri="http://purl.org/dc/dcmitype/"/>
    <ds:schemaRef ds:uri="072444cc-eec3-4352-8fcb-179150d177a5"/>
    <ds:schemaRef ds:uri="http://www.w3.org/XML/1998/namespace"/>
    <ds:schemaRef ds:uri="a3648569-d889-4cab-8fb7-f97de583ec0f"/>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AD4DCD07-C7A9-4796-85A9-9E7041A5984C}">
  <ds:schemaRefs>
    <ds:schemaRef ds:uri="http://schemas.microsoft.com/sharepoint/v3/contenttype/forms"/>
  </ds:schemaRefs>
</ds:datastoreItem>
</file>

<file path=customXml/itemProps3.xml><?xml version="1.0" encoding="utf-8"?>
<ds:datastoreItem xmlns:ds="http://schemas.openxmlformats.org/officeDocument/2006/customXml" ds:itemID="{CA240ABB-1EC4-4B90-B9C7-5DEFD4247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44cc-eec3-4352-8fcb-179150d177a5"/>
    <ds:schemaRef ds:uri="a3648569-d889-4cab-8fb7-f97de583e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vs. Supplant Guidance - Sec. 211(a)*</dc:title>
  <dc:subject/>
  <dc:creator>Stefanie Schroeder</dc:creator>
  <cp:keywords/>
  <dc:description/>
  <cp:lastModifiedBy>Stefanie Schroeder</cp:lastModifiedBy>
  <cp:revision>4</cp:revision>
  <dcterms:created xsi:type="dcterms:W3CDTF">2025-08-14T14:43:00Z</dcterms:created>
  <dcterms:modified xsi:type="dcterms:W3CDTF">2025-08-15T17:16:00Z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0x01010051635714A6A3754F99BA419DBF1BC9D6</vt:lpwstr>
  </property>
  <property fmtid="{D5CDD505-2E9C-101B-9397-08002B2CF9AE}" pid="3" name="MediaServiceImageTags">
    <vt:lpwstr/>
  </property>
</Properties>
</file>