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1A1F" w14:textId="77777777" w:rsidR="00A91B73" w:rsidRPr="00A91B73" w:rsidRDefault="00A91B73" w:rsidP="00A91B73">
      <w:r w:rsidRPr="00A91B73">
        <w:rPr>
          <w:i/>
          <w:iCs/>
        </w:rPr>
        <w:t>(Perkins V – Postsecondary – NCCCS)</w:t>
      </w:r>
      <w:r w:rsidRPr="00A91B73">
        <w:br/>
      </w:r>
      <w:r w:rsidRPr="00A91B73">
        <w:rPr>
          <w:b/>
          <w:bCs/>
        </w:rPr>
        <w:t>References:</w:t>
      </w:r>
      <w:r w:rsidRPr="00A91B73">
        <w:t> Perkins V Sec. 135 (Local Uses of Funds) | 2 CFR 200 (Uniform Guidance – Cost Principles)</w:t>
      </w:r>
    </w:p>
    <w:p w14:paraId="347CABA3" w14:textId="77777777" w:rsidR="00A91B73" w:rsidRPr="00A91B73" w:rsidRDefault="00A91B73" w:rsidP="00A91B73">
      <w:r w:rsidRPr="00A91B73">
        <w:rPr>
          <w:b/>
          <w:bCs/>
        </w:rPr>
        <w:t>1. Direct Costs</w:t>
      </w:r>
    </w:p>
    <w:p w14:paraId="2DD14EC1" w14:textId="77777777" w:rsidR="00A91B73" w:rsidRPr="00A91B73" w:rsidRDefault="00A91B73" w:rsidP="00A91B73">
      <w:r w:rsidRPr="00A91B73">
        <w:rPr>
          <w:b/>
          <w:bCs/>
        </w:rPr>
        <w:t>Definition:</w:t>
      </w:r>
      <w:r w:rsidRPr="00A91B73">
        <w:br/>
        <w:t>Direct costs are expenses you can clearly and specifically link to a Perkins-funded CTE project, program, or activity.</w:t>
      </w:r>
    </w:p>
    <w:p w14:paraId="51C700FA" w14:textId="77777777" w:rsidR="00A91B73" w:rsidRPr="00A91B73" w:rsidRDefault="00A91B73" w:rsidP="00A91B73">
      <w:r w:rsidRPr="00A91B73">
        <w:rPr>
          <w:b/>
          <w:bCs/>
        </w:rPr>
        <w:t>Requirements:</w:t>
      </w:r>
    </w:p>
    <w:p w14:paraId="5A7D5FDE" w14:textId="77777777" w:rsidR="00A91B73" w:rsidRPr="00A91B73" w:rsidRDefault="00A91B73" w:rsidP="00A91B73">
      <w:pPr>
        <w:numPr>
          <w:ilvl w:val="0"/>
          <w:numId w:val="7"/>
        </w:numPr>
      </w:pPr>
      <w:r w:rsidRPr="00A91B73">
        <w:rPr>
          <w:b/>
          <w:bCs/>
        </w:rPr>
        <w:t>Necessary</w:t>
      </w:r>
      <w:r w:rsidRPr="00A91B73">
        <w:t> – Needed for CTE program improvement or operation.</w:t>
      </w:r>
    </w:p>
    <w:p w14:paraId="16D3BAD1" w14:textId="77777777" w:rsidR="00A91B73" w:rsidRPr="00A91B73" w:rsidRDefault="00A91B73" w:rsidP="00A91B73">
      <w:pPr>
        <w:numPr>
          <w:ilvl w:val="0"/>
          <w:numId w:val="7"/>
        </w:numPr>
      </w:pPr>
      <w:r w:rsidRPr="00A91B73">
        <w:rPr>
          <w:b/>
          <w:bCs/>
        </w:rPr>
        <w:t>Reasonable</w:t>
      </w:r>
      <w:r w:rsidRPr="00A91B73">
        <w:t> – Cost does not exceed what a prudent person would pay under similar circumstances.</w:t>
      </w:r>
    </w:p>
    <w:p w14:paraId="53B29E5E" w14:textId="77777777" w:rsidR="00A91B73" w:rsidRPr="00A91B73" w:rsidRDefault="00A91B73" w:rsidP="00A91B73">
      <w:pPr>
        <w:numPr>
          <w:ilvl w:val="0"/>
          <w:numId w:val="7"/>
        </w:numPr>
      </w:pPr>
      <w:r w:rsidRPr="00A91B73">
        <w:rPr>
          <w:b/>
          <w:bCs/>
        </w:rPr>
        <w:t>Allocable</w:t>
      </w:r>
      <w:r w:rsidRPr="00A91B73">
        <w:t> – Benefits only the Perkins program, or its portion can be accurately assigned to it.</w:t>
      </w:r>
    </w:p>
    <w:p w14:paraId="06727011" w14:textId="77777777" w:rsidR="00A91B73" w:rsidRPr="00A91B73" w:rsidRDefault="00A91B73" w:rsidP="00A91B73">
      <w:r w:rsidRPr="00A91B73">
        <w:rPr>
          <w:b/>
          <w:bCs/>
        </w:rPr>
        <w:t>Examples</w:t>
      </w:r>
      <w:r w:rsidRPr="00A91B73">
        <w:t> </w:t>
      </w:r>
      <w:r w:rsidRPr="00A91B73">
        <w:rPr>
          <w:i/>
          <w:iCs/>
        </w:rPr>
        <w:t>(must connect to CLNA &amp; Local Plan)</w:t>
      </w:r>
      <w:r w:rsidRPr="00A91B73">
        <w:t>:</w:t>
      </w:r>
    </w:p>
    <w:p w14:paraId="6F41EF93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CTE equipment and instructional materials.</w:t>
      </w:r>
    </w:p>
    <w:p w14:paraId="4F90CB78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Salaries/wages for CTE instructors or coordinators </w:t>
      </w:r>
      <w:r w:rsidRPr="00A91B73">
        <w:rPr>
          <w:i/>
          <w:iCs/>
        </w:rPr>
        <w:t>(with time &amp; effort records)</w:t>
      </w:r>
      <w:r w:rsidRPr="00A91B73">
        <w:t>.</w:t>
      </w:r>
    </w:p>
    <w:p w14:paraId="00DA982F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Industry-recognized credential exam fees for CTE students.</w:t>
      </w:r>
    </w:p>
    <w:p w14:paraId="5D0CF187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CTE-specific professional development registration and travel.</w:t>
      </w:r>
    </w:p>
    <w:p w14:paraId="549AB98F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Curriculum development for approved CTE programs.</w:t>
      </w:r>
    </w:p>
    <w:p w14:paraId="4ECD8F5F" w14:textId="77777777" w:rsidR="00A91B73" w:rsidRPr="00A91B73" w:rsidRDefault="00A91B73" w:rsidP="00A91B73">
      <w:pPr>
        <w:numPr>
          <w:ilvl w:val="0"/>
          <w:numId w:val="8"/>
        </w:numPr>
      </w:pPr>
      <w:r w:rsidRPr="00A91B73">
        <w:t>Adaptive technology for students with disabilities in CTE programs.</w:t>
      </w:r>
    </w:p>
    <w:p w14:paraId="3F0202FB" w14:textId="77777777" w:rsidR="00A91B73" w:rsidRPr="00A91B73" w:rsidRDefault="00A91B73" w:rsidP="00A91B73">
      <w:r w:rsidRPr="00A91B73">
        <w:rPr>
          <w:b/>
          <w:bCs/>
        </w:rPr>
        <w:t>Documentation:</w:t>
      </w:r>
      <w:r w:rsidRPr="00A91B73">
        <w:br/>
        <w:t>Invoices, purchase orders, payroll records, time &amp; effort certifications, and written justification linking the expense to a CTE objective.</w:t>
      </w:r>
    </w:p>
    <w:p w14:paraId="4B393E5C" w14:textId="77777777" w:rsidR="00A91B73" w:rsidRPr="00A91B73" w:rsidRDefault="00150C1A" w:rsidP="00A91B73">
      <w:r>
        <w:pict w14:anchorId="5AA6C5E3">
          <v:rect id="_x0000_i1025" style="width:730.35pt;height:1.5pt" o:hrpct="0" o:hralign="center" o:hrstd="t" o:hr="t" fillcolor="#a0a0a0" stroked="f"/>
        </w:pict>
      </w:r>
    </w:p>
    <w:p w14:paraId="6E1A2DD4" w14:textId="77777777" w:rsidR="00A91B73" w:rsidRPr="00A91B73" w:rsidRDefault="00A91B73" w:rsidP="00A91B73">
      <w:r w:rsidRPr="00A91B73">
        <w:rPr>
          <w:b/>
          <w:bCs/>
        </w:rPr>
        <w:t>2. Indirect Costs</w:t>
      </w:r>
    </w:p>
    <w:p w14:paraId="7D5D191F" w14:textId="77777777" w:rsidR="00A91B73" w:rsidRPr="00A91B73" w:rsidRDefault="00A91B73" w:rsidP="00A91B73">
      <w:r w:rsidRPr="00A91B73">
        <w:rPr>
          <w:b/>
          <w:bCs/>
        </w:rPr>
        <w:t>Definition:</w:t>
      </w:r>
      <w:r w:rsidRPr="00A91B73">
        <w:br/>
        <w:t>Indirect costs are general operating expenses that support multiple programs (not just Perkins) and cannot be tied to a single project without significant effort.</w:t>
      </w:r>
      <w:r w:rsidRPr="00A91B73">
        <w:br/>
        <w:t>Examples: utilities, building maintenance, institution-wide IT systems, depreciation.</w:t>
      </w:r>
    </w:p>
    <w:p w14:paraId="7799A4E2" w14:textId="77777777" w:rsidR="00A91B73" w:rsidRPr="00A91B73" w:rsidRDefault="00A91B73" w:rsidP="00A91B73">
      <w:r w:rsidRPr="00A91B73">
        <w:rPr>
          <w:b/>
          <w:bCs/>
        </w:rPr>
        <w:t>Uniform Guidance Rule:</w:t>
      </w:r>
      <w:r w:rsidRPr="00A91B73">
        <w:br/>
        <w:t>Indirect costs may be charged to Perkins only if they are:</w:t>
      </w:r>
    </w:p>
    <w:p w14:paraId="5C575E39" w14:textId="77777777" w:rsidR="00A91B73" w:rsidRPr="00A91B73" w:rsidRDefault="00A91B73" w:rsidP="00A91B73">
      <w:pPr>
        <w:numPr>
          <w:ilvl w:val="0"/>
          <w:numId w:val="9"/>
        </w:numPr>
      </w:pPr>
      <w:r w:rsidRPr="00A91B73">
        <w:t>Necessary, reasonable, and allocable.</w:t>
      </w:r>
    </w:p>
    <w:p w14:paraId="1EC68EBF" w14:textId="77777777" w:rsidR="00A91B73" w:rsidRPr="00A91B73" w:rsidRDefault="00A91B73" w:rsidP="00A91B73">
      <w:pPr>
        <w:numPr>
          <w:ilvl w:val="0"/>
          <w:numId w:val="9"/>
        </w:numPr>
      </w:pPr>
      <w:r w:rsidRPr="00A91B73">
        <w:t>Applied consistently across all programs (federal and non-federal).</w:t>
      </w:r>
    </w:p>
    <w:p w14:paraId="425EE74A" w14:textId="77777777" w:rsidR="00A91B73" w:rsidRPr="00A91B73" w:rsidRDefault="00A91B73" w:rsidP="00A91B73">
      <w:pPr>
        <w:numPr>
          <w:ilvl w:val="0"/>
          <w:numId w:val="9"/>
        </w:numPr>
      </w:pPr>
      <w:r w:rsidRPr="00A91B73">
        <w:t>Not also charged as direct costs (</w:t>
      </w:r>
      <w:r w:rsidRPr="00A91B73">
        <w:rPr>
          <w:b/>
          <w:bCs/>
        </w:rPr>
        <w:t>no double dipping</w:t>
      </w:r>
      <w:r w:rsidRPr="00A91B73">
        <w:t>).</w:t>
      </w:r>
    </w:p>
    <w:p w14:paraId="4DDBDAAC" w14:textId="77777777" w:rsidR="00A91B73" w:rsidRPr="00A91B73" w:rsidRDefault="00150C1A" w:rsidP="00A91B73">
      <w:r>
        <w:lastRenderedPageBreak/>
        <w:pict w14:anchorId="4B02778C">
          <v:rect id="_x0000_i1026" style="width:730.35pt;height:1.5pt" o:hrpct="0" o:hralign="center" o:hrstd="t" o:hr="t" fillcolor="#a0a0a0" stroked="f"/>
        </w:pict>
      </w:r>
    </w:p>
    <w:p w14:paraId="0660DBB1" w14:textId="77777777" w:rsidR="00A91B73" w:rsidRPr="00A91B73" w:rsidRDefault="00A91B73" w:rsidP="00A91B73">
      <w:r w:rsidRPr="00A91B73">
        <w:rPr>
          <w:b/>
          <w:bCs/>
        </w:rPr>
        <w:t>3. Administrative Costs</w:t>
      </w:r>
    </w:p>
    <w:p w14:paraId="4CD8DBA8" w14:textId="77777777" w:rsidR="00A91B73" w:rsidRPr="00A91B73" w:rsidRDefault="00A91B73" w:rsidP="00A91B73">
      <w:r w:rsidRPr="00A91B73">
        <w:rPr>
          <w:b/>
          <w:bCs/>
        </w:rPr>
        <w:t>Definition:</w:t>
      </w:r>
      <w:r w:rsidRPr="00A91B73">
        <w:br/>
        <w:t>A Perkins-specific category that includes </w:t>
      </w:r>
      <w:r w:rsidRPr="00A91B73">
        <w:rPr>
          <w:b/>
          <w:bCs/>
        </w:rPr>
        <w:t>all costs</w:t>
      </w:r>
      <w:r w:rsidRPr="00A91B73">
        <w:t xml:space="preserve"> — direct or </w:t>
      </w:r>
      <w:proofErr w:type="gramStart"/>
      <w:r w:rsidRPr="00A91B73">
        <w:t>indirect —</w:t>
      </w:r>
      <w:proofErr w:type="gramEnd"/>
      <w:r w:rsidRPr="00A91B73">
        <w:t xml:space="preserve"> spent to manage and administer the Perkins program.</w:t>
      </w:r>
    </w:p>
    <w:p w14:paraId="366FAB60" w14:textId="77777777" w:rsidR="00A91B73" w:rsidRPr="00A91B73" w:rsidRDefault="00A91B73" w:rsidP="00A91B73">
      <w:r w:rsidRPr="00A91B73">
        <w:rPr>
          <w:b/>
          <w:bCs/>
        </w:rPr>
        <w:t>Perkins V Rules:</w:t>
      </w:r>
    </w:p>
    <w:p w14:paraId="750E5890" w14:textId="0415B94A" w:rsidR="00A91B73" w:rsidRPr="00A91B73" w:rsidRDefault="00A91B73" w:rsidP="00A91B73">
      <w:pPr>
        <w:numPr>
          <w:ilvl w:val="0"/>
          <w:numId w:val="10"/>
        </w:numPr>
      </w:pPr>
      <w:r w:rsidRPr="00A91B73">
        <w:rPr>
          <w:b/>
          <w:bCs/>
        </w:rPr>
        <w:t>Capped at 5%</w:t>
      </w:r>
      <w:r w:rsidRPr="00A91B73">
        <w:t> of the college’s Perkins allotment (Perkins V Sec. 135(d)), after the WIOA Sec. 121(h)</w:t>
      </w:r>
      <w:r>
        <w:t xml:space="preserve"> infrastructure</w:t>
      </w:r>
      <w:r w:rsidRPr="00A91B73">
        <w:t xml:space="preserve"> deduction.</w:t>
      </w:r>
    </w:p>
    <w:p w14:paraId="42689296" w14:textId="77777777" w:rsidR="00A91B73" w:rsidRPr="00A91B73" w:rsidRDefault="00A91B73" w:rsidP="00A91B73">
      <w:pPr>
        <w:numPr>
          <w:ilvl w:val="0"/>
          <w:numId w:val="10"/>
        </w:numPr>
      </w:pPr>
      <w:r w:rsidRPr="00A91B73">
        <w:t xml:space="preserve">Activities </w:t>
      </w:r>
      <w:proofErr w:type="gramStart"/>
      <w:r w:rsidRPr="00A91B73">
        <w:t>include:</w:t>
      </w:r>
      <w:proofErr w:type="gramEnd"/>
      <w:r w:rsidRPr="00A91B73">
        <w:t xml:space="preserve"> grant supervision, developing the local plan, fiscal reporting, compliance monitoring.</w:t>
      </w:r>
    </w:p>
    <w:p w14:paraId="40CC4B26" w14:textId="77777777" w:rsidR="00A91B73" w:rsidRPr="00A91B73" w:rsidRDefault="00A91B73" w:rsidP="00A91B73">
      <w:pPr>
        <w:numPr>
          <w:ilvl w:val="0"/>
          <w:numId w:val="10"/>
        </w:numPr>
      </w:pPr>
      <w:r w:rsidRPr="00A91B73">
        <w:t>Budgeted in </w:t>
      </w:r>
      <w:r w:rsidRPr="00A91B73">
        <w:rPr>
          <w:b/>
          <w:bCs/>
        </w:rPr>
        <w:t>Voc Code 10</w:t>
      </w:r>
      <w:r w:rsidRPr="00A91B73">
        <w:t> and billed </w:t>
      </w:r>
      <w:r w:rsidRPr="00A91B73">
        <w:rPr>
          <w:b/>
          <w:bCs/>
        </w:rPr>
        <w:t>proportionally</w:t>
      </w:r>
      <w:r w:rsidRPr="00A91B73">
        <w:t> to total Perkins spending (34 CFR 76.707).</w:t>
      </w:r>
    </w:p>
    <w:p w14:paraId="786BD5A8" w14:textId="77777777" w:rsidR="00A91B73" w:rsidRPr="00A91B73" w:rsidRDefault="00A91B73" w:rsidP="00A91B73">
      <w:r w:rsidRPr="00A91B73">
        <w:rPr>
          <w:b/>
          <w:bCs/>
        </w:rPr>
        <w:t>Key Relationship:</w:t>
      </w:r>
    </w:p>
    <w:p w14:paraId="5BF07A9A" w14:textId="77777777" w:rsidR="00A91B73" w:rsidRPr="00A91B73" w:rsidRDefault="00A91B73" w:rsidP="00A91B73">
      <w:pPr>
        <w:numPr>
          <w:ilvl w:val="0"/>
          <w:numId w:val="11"/>
        </w:numPr>
      </w:pPr>
      <w:r w:rsidRPr="00A91B73">
        <w:t>Many indirect costs are also administrative when charged to Perkins.</w:t>
      </w:r>
    </w:p>
    <w:p w14:paraId="339C476E" w14:textId="77777777" w:rsidR="00A91B73" w:rsidRPr="00A91B73" w:rsidRDefault="00A91B73" w:rsidP="00A91B73">
      <w:pPr>
        <w:numPr>
          <w:ilvl w:val="0"/>
          <w:numId w:val="11"/>
        </w:numPr>
      </w:pPr>
      <w:r w:rsidRPr="00A91B73">
        <w:t xml:space="preserve">All Perkins-charged administrative costs (including </w:t>
      </w:r>
      <w:proofErr w:type="spellStart"/>
      <w:r w:rsidRPr="00A91B73">
        <w:t>indirects</w:t>
      </w:r>
      <w:proofErr w:type="spellEnd"/>
      <w:r w:rsidRPr="00A91B73">
        <w:t>) must fit under the </w:t>
      </w:r>
      <w:r w:rsidRPr="00A91B73">
        <w:rPr>
          <w:b/>
          <w:bCs/>
        </w:rPr>
        <w:t>5% cap</w:t>
      </w:r>
      <w:r w:rsidRPr="00A91B73">
        <w:t>.</w:t>
      </w:r>
    </w:p>
    <w:p w14:paraId="0D6D0681" w14:textId="77777777" w:rsidR="00A91B73" w:rsidRPr="00A91B73" w:rsidRDefault="00A91B73" w:rsidP="00A91B73">
      <w:pPr>
        <w:numPr>
          <w:ilvl w:val="0"/>
          <w:numId w:val="11"/>
        </w:numPr>
      </w:pPr>
      <w:r w:rsidRPr="00A91B73">
        <w:t>Some administrative costs are direct (e.g., salary of a Perkins grant manager fully assigned to the program).</w:t>
      </w:r>
    </w:p>
    <w:p w14:paraId="39227735" w14:textId="77777777" w:rsidR="00A91B73" w:rsidRPr="00A91B73" w:rsidRDefault="00A91B73" w:rsidP="00A91B73">
      <w:r w:rsidRPr="00A91B73">
        <w:rPr>
          <w:b/>
          <w:bCs/>
        </w:rPr>
        <w:t>4. Side-by-Side Comparison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2989"/>
        <w:gridCol w:w="3591"/>
      </w:tblGrid>
      <w:tr w:rsidR="00A91B73" w:rsidRPr="00A91B73" w14:paraId="4B2F560D" w14:textId="77777777" w:rsidTr="00A91B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4106E" w14:textId="77777777" w:rsidR="00A91B73" w:rsidRPr="00A91B73" w:rsidRDefault="00A91B73" w:rsidP="00A91B73">
            <w:r w:rsidRPr="00A91B73">
              <w:rPr>
                <w:b/>
                <w:bCs/>
              </w:rPr>
              <w:t>Direct Costs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7468C" w14:textId="77777777" w:rsidR="00A91B73" w:rsidRPr="00A91B73" w:rsidRDefault="00A91B73" w:rsidP="00A91B73">
            <w:r w:rsidRPr="00A91B73">
              <w:rPr>
                <w:b/>
                <w:bCs/>
              </w:rPr>
              <w:t>Indirect Costs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A22A2" w14:textId="77777777" w:rsidR="00A91B73" w:rsidRPr="00A91B73" w:rsidRDefault="00A91B73" w:rsidP="00A91B73">
            <w:r w:rsidRPr="00A91B73">
              <w:rPr>
                <w:b/>
                <w:bCs/>
              </w:rPr>
              <w:t>Administrative Costs</w:t>
            </w:r>
          </w:p>
        </w:tc>
      </w:tr>
      <w:tr w:rsidR="00A91B73" w:rsidRPr="00A91B73" w14:paraId="39D94CC3" w14:textId="77777777" w:rsidTr="00A91B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50936" w14:textId="77777777" w:rsidR="00A91B73" w:rsidRPr="00A91B73" w:rsidRDefault="00A91B73" w:rsidP="00A91B73">
            <w:r w:rsidRPr="00A91B73">
              <w:t>Directly tied to a Perkins-funded CTE activity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F4A50" w14:textId="77777777" w:rsidR="00A91B73" w:rsidRPr="00A91B73" w:rsidRDefault="00A91B73" w:rsidP="00A91B73">
            <w:r w:rsidRPr="00A91B73">
              <w:t>Benefit multiple programs, not easily tied to one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2B5E9" w14:textId="77777777" w:rsidR="00A91B73" w:rsidRPr="00A91B73" w:rsidRDefault="00A91B73" w:rsidP="00A91B73">
            <w:r w:rsidRPr="00A91B73">
              <w:t>Manage and oversee Perkins program (may be direct or indirect)</w:t>
            </w:r>
          </w:p>
        </w:tc>
      </w:tr>
      <w:tr w:rsidR="00A91B73" w:rsidRPr="00A91B73" w14:paraId="5382529A" w14:textId="77777777" w:rsidTr="00A91B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2B99E" w14:textId="77777777" w:rsidR="00A91B73" w:rsidRPr="00A91B73" w:rsidRDefault="00A91B73" w:rsidP="00A91B73">
            <w:r w:rsidRPr="00A91B73">
              <w:t>Easy to measure and document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7C800" w14:textId="77777777" w:rsidR="00A91B73" w:rsidRPr="00A91B73" w:rsidRDefault="00A91B73" w:rsidP="00A91B73">
            <w:r w:rsidRPr="00A91B73">
              <w:t>Not readily assignable without complex allocation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08D86" w14:textId="77777777" w:rsidR="00A91B73" w:rsidRPr="00A91B73" w:rsidRDefault="00A91B73" w:rsidP="00A91B73">
            <w:r w:rsidRPr="00A91B73">
              <w:t>Capped at 5% of Perkins allotment</w:t>
            </w:r>
          </w:p>
        </w:tc>
      </w:tr>
      <w:tr w:rsidR="00A91B73" w:rsidRPr="00A91B73" w14:paraId="407972DC" w14:textId="77777777" w:rsidTr="00A91B7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7C0C7" w14:textId="77777777" w:rsidR="00A91B73" w:rsidRPr="00A91B73" w:rsidRDefault="00A91B73" w:rsidP="00A91B73">
            <w:r w:rsidRPr="00A91B73">
              <w:t>Examples: CTE equipment, instructor salary, credential fees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B5C2C" w14:textId="77777777" w:rsidR="00A91B73" w:rsidRPr="00A91B73" w:rsidRDefault="00A91B73" w:rsidP="00A91B73">
            <w:r w:rsidRPr="00A91B73">
              <w:t>Examples: Utilities, central admin salaries, building depreciation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BE192" w14:textId="77777777" w:rsidR="00A91B73" w:rsidRPr="00A91B73" w:rsidRDefault="00A91B73" w:rsidP="00A91B73">
            <w:r w:rsidRPr="00A91B73">
              <w:t>Examples: Grant manager salary, compliance reporting, local plan preparation</w:t>
            </w:r>
          </w:p>
        </w:tc>
      </w:tr>
    </w:tbl>
    <w:p w14:paraId="0E382D14" w14:textId="2C57C25A" w:rsidR="00A91B73" w:rsidRPr="00A91B73" w:rsidRDefault="00A91B73" w:rsidP="00A91B73"/>
    <w:p w14:paraId="1C2612DD" w14:textId="77777777" w:rsidR="00A91B73" w:rsidRPr="00A91B73" w:rsidRDefault="00A91B73" w:rsidP="00A91B73">
      <w:r w:rsidRPr="00A91B73">
        <w:rPr>
          <w:b/>
          <w:bCs/>
        </w:rPr>
        <w:t>5. Quick Compliance Tips</w:t>
      </w:r>
    </w:p>
    <w:p w14:paraId="7BAE5D68" w14:textId="77777777" w:rsidR="00A91B73" w:rsidRPr="00A91B73" w:rsidRDefault="00A91B73" w:rsidP="00A91B73">
      <w:pPr>
        <w:numPr>
          <w:ilvl w:val="0"/>
          <w:numId w:val="12"/>
        </w:numPr>
      </w:pPr>
      <w:r w:rsidRPr="00A91B73">
        <w:t>Never split the same cost as both direct and indirect.</w:t>
      </w:r>
    </w:p>
    <w:p w14:paraId="6B4256AA" w14:textId="3510CF85" w:rsidR="00A91B73" w:rsidRPr="00A91B73" w:rsidRDefault="00A91B73" w:rsidP="00A91B73">
      <w:pPr>
        <w:numPr>
          <w:ilvl w:val="0"/>
          <w:numId w:val="12"/>
        </w:numPr>
      </w:pPr>
      <w:r w:rsidRPr="00A91B73">
        <w:t>If the cost is for </w:t>
      </w:r>
      <w:r w:rsidRPr="00A91B73">
        <w:rPr>
          <w:b/>
          <w:bCs/>
        </w:rPr>
        <w:t>running the Perkins program</w:t>
      </w:r>
      <w:r w:rsidRPr="00A91B73">
        <w:t>, it’s administrative (and counts toward the 5% cap) whether it’s direct or indirect.</w:t>
      </w:r>
    </w:p>
    <w:p w14:paraId="6B03A992" w14:textId="77777777" w:rsidR="00A91B73" w:rsidRPr="00A91B73" w:rsidRDefault="00A91B73" w:rsidP="00A91B73">
      <w:pPr>
        <w:numPr>
          <w:ilvl w:val="0"/>
          <w:numId w:val="12"/>
        </w:numPr>
      </w:pPr>
      <w:r w:rsidRPr="00A91B73">
        <w:t xml:space="preserve">Always keep </w:t>
      </w:r>
      <w:proofErr w:type="gramStart"/>
      <w:r w:rsidRPr="00A91B73">
        <w:t>clear documentation</w:t>
      </w:r>
      <w:proofErr w:type="gramEnd"/>
      <w:r w:rsidRPr="00A91B73">
        <w:t xml:space="preserve"> on why a cost was classified the way it was.</w:t>
      </w:r>
    </w:p>
    <w:p w14:paraId="068D42F3" w14:textId="77777777" w:rsidR="00A91B73" w:rsidRPr="00A91B73" w:rsidRDefault="00A91B73" w:rsidP="00A91B73">
      <w:pPr>
        <w:numPr>
          <w:ilvl w:val="0"/>
          <w:numId w:val="12"/>
        </w:numPr>
        <w:rPr>
          <w:b/>
          <w:bCs/>
        </w:rPr>
      </w:pPr>
      <w:r w:rsidRPr="00A91B73">
        <w:rPr>
          <w:b/>
          <w:bCs/>
        </w:rPr>
        <w:t>Ask yourself:</w:t>
      </w:r>
    </w:p>
    <w:p w14:paraId="744E0FF5" w14:textId="77777777" w:rsidR="00A91B73" w:rsidRPr="00A91B73" w:rsidRDefault="00A91B73" w:rsidP="00A91B73">
      <w:pPr>
        <w:numPr>
          <w:ilvl w:val="1"/>
          <w:numId w:val="12"/>
        </w:numPr>
      </w:pPr>
      <w:r w:rsidRPr="00A91B73">
        <w:rPr>
          <w:i/>
          <w:iCs/>
        </w:rPr>
        <w:lastRenderedPageBreak/>
        <w:t>Is it tied to one Perkins-funded activity?</w:t>
      </w:r>
      <w:r w:rsidRPr="00A91B73">
        <w:t> → Direct.</w:t>
      </w:r>
    </w:p>
    <w:p w14:paraId="71C7263B" w14:textId="77777777" w:rsidR="00A91B73" w:rsidRPr="00A91B73" w:rsidRDefault="00A91B73" w:rsidP="00A91B73">
      <w:pPr>
        <w:numPr>
          <w:ilvl w:val="1"/>
          <w:numId w:val="12"/>
        </w:numPr>
      </w:pPr>
      <w:r w:rsidRPr="00A91B73">
        <w:rPr>
          <w:i/>
          <w:iCs/>
        </w:rPr>
        <w:t>Does it benefit multiple programs?</w:t>
      </w:r>
      <w:r w:rsidRPr="00A91B73">
        <w:t> → Indirect.</w:t>
      </w:r>
    </w:p>
    <w:p w14:paraId="0012ABEF" w14:textId="77777777" w:rsidR="00A91B73" w:rsidRPr="00A91B73" w:rsidRDefault="00A91B73" w:rsidP="00A91B73">
      <w:pPr>
        <w:numPr>
          <w:ilvl w:val="1"/>
          <w:numId w:val="12"/>
        </w:numPr>
      </w:pPr>
      <w:r w:rsidRPr="00A91B73">
        <w:rPr>
          <w:i/>
          <w:iCs/>
        </w:rPr>
        <w:t>Is it for managing Perkins?</w:t>
      </w:r>
      <w:r w:rsidRPr="00A91B73">
        <w:t> → Administrative (counts toward the cap).</w:t>
      </w:r>
    </w:p>
    <w:p w14:paraId="555CD69B" w14:textId="77777777" w:rsidR="00A9638B" w:rsidRDefault="00A9638B"/>
    <w:p w14:paraId="459200AD" w14:textId="77777777" w:rsidR="001333D6" w:rsidRDefault="001333D6"/>
    <w:p w14:paraId="20941E85" w14:textId="307C34B9" w:rsidR="001333D6" w:rsidRDefault="001333D6">
      <w:r>
        <w:t>Last updated on 08/15/2025</w:t>
      </w:r>
    </w:p>
    <w:sectPr w:rsidR="001333D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8A6E" w14:textId="77777777" w:rsidR="00653969" w:rsidRDefault="00653969" w:rsidP="00653969">
      <w:pPr>
        <w:spacing w:after="0" w:line="240" w:lineRule="auto"/>
      </w:pPr>
      <w:r>
        <w:separator/>
      </w:r>
    </w:p>
  </w:endnote>
  <w:endnote w:type="continuationSeparator" w:id="0">
    <w:p w14:paraId="1A770527" w14:textId="77777777" w:rsidR="00653969" w:rsidRDefault="00653969" w:rsidP="0065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C09BE4C3E48E4F5AB6FE31CF49D8CBBA"/>
      </w:placeholder>
      <w:temporary/>
      <w:showingPlcHdr/>
      <w15:appearance w15:val="hidden"/>
    </w:sdtPr>
    <w:sdtContent>
      <w:p w14:paraId="0FB71C93" w14:textId="77777777" w:rsidR="00150C1A" w:rsidRDefault="00150C1A">
        <w:pPr>
          <w:pStyle w:val="Footer"/>
        </w:pPr>
        <w:r>
          <w:t>[Type here]</w:t>
        </w:r>
      </w:p>
    </w:sdtContent>
  </w:sdt>
  <w:p w14:paraId="3CB70F7A" w14:textId="77777777" w:rsidR="00653969" w:rsidRDefault="00653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F1EA" w14:textId="77777777" w:rsidR="00653969" w:rsidRDefault="00653969" w:rsidP="00653969">
      <w:pPr>
        <w:spacing w:after="0" w:line="240" w:lineRule="auto"/>
      </w:pPr>
      <w:r>
        <w:separator/>
      </w:r>
    </w:p>
  </w:footnote>
  <w:footnote w:type="continuationSeparator" w:id="0">
    <w:p w14:paraId="2DA7A2E0" w14:textId="77777777" w:rsidR="00653969" w:rsidRDefault="00653969" w:rsidP="0065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6439" w14:textId="558A72D9" w:rsidR="00653969" w:rsidRDefault="0065396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64D1BD" wp14:editId="25CF10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99C22A" w14:textId="777CFC43" w:rsidR="00653969" w:rsidRDefault="0065396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direct vs. indirect admin</w:t>
                              </w:r>
                              <w:r w:rsidR="001333D6">
                                <w:rPr>
                                  <w:caps/>
                                  <w:color w:val="FFFFFF" w:themeColor="background1"/>
                                </w:rPr>
                                <w:t>istrative costs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64D1B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99C22A" w14:textId="777CFC43" w:rsidR="00653969" w:rsidRDefault="0065396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direct vs. indirect admin</w:t>
                        </w:r>
                        <w:r w:rsidR="001333D6">
                          <w:rPr>
                            <w:caps/>
                            <w:color w:val="FFFFFF" w:themeColor="background1"/>
                          </w:rPr>
                          <w:t>istrative costs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C1"/>
    <w:multiLevelType w:val="multilevel"/>
    <w:tmpl w:val="EC9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6721"/>
    <w:multiLevelType w:val="multilevel"/>
    <w:tmpl w:val="5FA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843D5"/>
    <w:multiLevelType w:val="multilevel"/>
    <w:tmpl w:val="FA0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F3464"/>
    <w:multiLevelType w:val="multilevel"/>
    <w:tmpl w:val="1FA2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94A92"/>
    <w:multiLevelType w:val="multilevel"/>
    <w:tmpl w:val="2DA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A4BA3"/>
    <w:multiLevelType w:val="multilevel"/>
    <w:tmpl w:val="E4F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E6DD3"/>
    <w:multiLevelType w:val="multilevel"/>
    <w:tmpl w:val="E78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B173D"/>
    <w:multiLevelType w:val="multilevel"/>
    <w:tmpl w:val="45F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47B66"/>
    <w:multiLevelType w:val="multilevel"/>
    <w:tmpl w:val="B39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D5DDF"/>
    <w:multiLevelType w:val="multilevel"/>
    <w:tmpl w:val="FA5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17B26"/>
    <w:multiLevelType w:val="multilevel"/>
    <w:tmpl w:val="803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C4B9D"/>
    <w:multiLevelType w:val="multilevel"/>
    <w:tmpl w:val="B46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81572">
    <w:abstractNumId w:val="11"/>
  </w:num>
  <w:num w:numId="2" w16cid:durableId="1209101937">
    <w:abstractNumId w:val="2"/>
  </w:num>
  <w:num w:numId="3" w16cid:durableId="1058675342">
    <w:abstractNumId w:val="5"/>
  </w:num>
  <w:num w:numId="4" w16cid:durableId="2016229270">
    <w:abstractNumId w:val="1"/>
  </w:num>
  <w:num w:numId="5" w16cid:durableId="1094328692">
    <w:abstractNumId w:val="7"/>
  </w:num>
  <w:num w:numId="6" w16cid:durableId="598677497">
    <w:abstractNumId w:val="9"/>
  </w:num>
  <w:num w:numId="7" w16cid:durableId="1637028567">
    <w:abstractNumId w:val="6"/>
  </w:num>
  <w:num w:numId="8" w16cid:durableId="1244485840">
    <w:abstractNumId w:val="8"/>
  </w:num>
  <w:num w:numId="9" w16cid:durableId="325402842">
    <w:abstractNumId w:val="10"/>
  </w:num>
  <w:num w:numId="10" w16cid:durableId="1761411142">
    <w:abstractNumId w:val="3"/>
  </w:num>
  <w:num w:numId="11" w16cid:durableId="322241391">
    <w:abstractNumId w:val="4"/>
  </w:num>
  <w:num w:numId="12" w16cid:durableId="40792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73"/>
    <w:rsid w:val="001333D6"/>
    <w:rsid w:val="00150C1A"/>
    <w:rsid w:val="002A4A4A"/>
    <w:rsid w:val="002E4C5D"/>
    <w:rsid w:val="0030770F"/>
    <w:rsid w:val="004567D8"/>
    <w:rsid w:val="00653969"/>
    <w:rsid w:val="008200EC"/>
    <w:rsid w:val="008E1496"/>
    <w:rsid w:val="00A91B73"/>
    <w:rsid w:val="00A9638B"/>
    <w:rsid w:val="00E66894"/>
    <w:rsid w:val="00E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AEC32"/>
  <w15:chartTrackingRefBased/>
  <w15:docId w15:val="{9EF0776E-8C1A-4D39-A573-FEDADEA0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D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67D8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67D8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567D8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B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B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B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B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B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B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567D8"/>
    <w:pPr>
      <w:spacing w:after="80" w:line="240" w:lineRule="auto"/>
      <w:contextualSpacing/>
    </w:pPr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D8"/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67D8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D8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D8"/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567D8"/>
    <w:rPr>
      <w:rFonts w:ascii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B7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B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B73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B73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69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6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69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9BE4C3E48E4F5AB6FE31CF49D8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A55E-2AAC-4D30-BE45-C0051D2E238B}"/>
      </w:docPartPr>
      <w:docPartBody>
        <w:p w:rsidR="00525979" w:rsidRDefault="00525979" w:rsidP="00525979">
          <w:pPr>
            <w:pStyle w:val="C09BE4C3E48E4F5AB6FE31CF49D8CBB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79"/>
    <w:rsid w:val="0030770F"/>
    <w:rsid w:val="0052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9BE4C3E48E4F5AB6FE31CF49D8CBBA">
    <w:name w:val="C09BE4C3E48E4F5AB6FE31CF49D8CBBA"/>
    <w:rsid w:val="00525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6" ma:contentTypeDescription="Create a new document." ma:contentTypeScope="" ma:versionID="664cde8594d582eeff13f1480cd92bcc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b674f18b6b3392123abf8f30d1f9bfcb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9F50F-4EAD-407B-AB48-531DE4BEEB80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a3648569-d889-4cab-8fb7-f97de583ec0f"/>
    <ds:schemaRef ds:uri="072444cc-eec3-4352-8fcb-179150d177a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FEE08C-4DDC-4EE9-8E13-3B6652239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FC1D0-5A9D-49E9-A037-AFC17103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44cc-eec3-4352-8fcb-179150d177a5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vs. indirect administrative costs</dc:title>
  <dc:subject/>
  <dc:creator>Stefanie Schroeder</dc:creator>
  <cp:keywords/>
  <dc:description/>
  <cp:lastModifiedBy>Stefanie Schroeder</cp:lastModifiedBy>
  <cp:revision>4</cp:revision>
  <dcterms:created xsi:type="dcterms:W3CDTF">2025-08-14T12:25:00Z</dcterms:created>
  <dcterms:modified xsi:type="dcterms:W3CDTF">2025-08-15T17:14:00Z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0x01010051635714A6A3754F99BA419DBF1BC9D6</vt:lpwstr>
  </property>
  <property fmtid="{D5CDD505-2E9C-101B-9397-08002B2CF9AE}" pid="3" name="MediaServiceImageTags">
    <vt:lpwstr/>
  </property>
</Properties>
</file>