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3BA24" w14:textId="77777777" w:rsidR="003A03B4" w:rsidRPr="003A03B4" w:rsidRDefault="003A03B4" w:rsidP="003A03B4">
      <w:pPr>
        <w:rPr>
          <w:b/>
          <w:bCs/>
        </w:rPr>
      </w:pPr>
      <w:r w:rsidRPr="003A03B4">
        <w:rPr>
          <w:b/>
          <w:bCs/>
        </w:rPr>
        <w:t>1P1 – Post-Program Placement</w:t>
      </w:r>
    </w:p>
    <w:p w14:paraId="45D8C202" w14:textId="77777777" w:rsidR="003A03B4" w:rsidRPr="003A03B4" w:rsidRDefault="003A03B4" w:rsidP="003A03B4">
      <w:r w:rsidRPr="003A03B4">
        <w:rPr>
          <w:b/>
          <w:bCs/>
        </w:rPr>
        <w:t>Definition:</w:t>
      </w:r>
      <w:r w:rsidRPr="003A03B4">
        <w:t xml:space="preserve"> Measures the percentage of CTE Concentrators who completed a CTE program in the previous reporting year and are either:</w:t>
      </w:r>
    </w:p>
    <w:p w14:paraId="279792C8" w14:textId="77777777" w:rsidR="003A03B4" w:rsidRPr="003A03B4" w:rsidRDefault="003A03B4" w:rsidP="003A03B4">
      <w:pPr>
        <w:numPr>
          <w:ilvl w:val="0"/>
          <w:numId w:val="1"/>
        </w:numPr>
      </w:pPr>
      <w:r w:rsidRPr="003A03B4">
        <w:t>Enrolled in postsecondary education, or</w:t>
      </w:r>
    </w:p>
    <w:p w14:paraId="7CE6C424" w14:textId="77777777" w:rsidR="003A03B4" w:rsidRPr="003A03B4" w:rsidRDefault="003A03B4" w:rsidP="003A03B4">
      <w:pPr>
        <w:numPr>
          <w:ilvl w:val="0"/>
          <w:numId w:val="1"/>
        </w:numPr>
      </w:pPr>
      <w:r w:rsidRPr="003A03B4">
        <w:t>Employed during the following fall semester.</w:t>
      </w:r>
    </w:p>
    <w:p w14:paraId="3BFF8FD7" w14:textId="77777777" w:rsidR="003A03B4" w:rsidRPr="003A03B4" w:rsidRDefault="003A03B4" w:rsidP="003A03B4">
      <w:r w:rsidRPr="003A03B4">
        <w:rPr>
          <w:b/>
          <w:bCs/>
        </w:rPr>
        <w:t>Numerator:</w:t>
      </w:r>
      <w:r w:rsidRPr="003A03B4">
        <w:t xml:space="preserve"> CTE Concentrators from the previous year who remain enrolled in NCCCS, transfer to another postsecondary program, or have documented employment in the following fall.</w:t>
      </w:r>
    </w:p>
    <w:p w14:paraId="563E0132" w14:textId="77777777" w:rsidR="003A03B4" w:rsidRPr="003A03B4" w:rsidRDefault="003A03B4" w:rsidP="003A03B4">
      <w:r w:rsidRPr="003A03B4">
        <w:rPr>
          <w:b/>
          <w:bCs/>
        </w:rPr>
        <w:t>Denominator:</w:t>
      </w:r>
      <w:r w:rsidRPr="003A03B4">
        <w:t xml:space="preserve"> CTE Concentrators and graduates from the previous year who:</w:t>
      </w:r>
    </w:p>
    <w:p w14:paraId="23C0D00E" w14:textId="77777777" w:rsidR="003A03B4" w:rsidRPr="003A03B4" w:rsidRDefault="003A03B4" w:rsidP="003A03B4">
      <w:pPr>
        <w:numPr>
          <w:ilvl w:val="0"/>
          <w:numId w:val="2"/>
        </w:numPr>
      </w:pPr>
      <w:r w:rsidRPr="003A03B4">
        <w:t>Completed at least one credit-level CTE course,</w:t>
      </w:r>
    </w:p>
    <w:p w14:paraId="36FA6A59" w14:textId="77777777" w:rsidR="003A03B4" w:rsidRPr="003A03B4" w:rsidRDefault="003A03B4" w:rsidP="003A03B4">
      <w:pPr>
        <w:numPr>
          <w:ilvl w:val="0"/>
          <w:numId w:val="2"/>
        </w:numPr>
      </w:pPr>
      <w:r w:rsidRPr="003A03B4">
        <w:t>Earned at least 12 CTE credits, and</w:t>
      </w:r>
    </w:p>
    <w:p w14:paraId="3FCEBA30" w14:textId="77777777" w:rsidR="003A03B4" w:rsidRPr="003A03B4" w:rsidRDefault="003A03B4" w:rsidP="003A03B4">
      <w:pPr>
        <w:numPr>
          <w:ilvl w:val="0"/>
          <w:numId w:val="2"/>
        </w:numPr>
      </w:pPr>
      <w:proofErr w:type="gramStart"/>
      <w:r w:rsidRPr="003A03B4">
        <w:t>Graduated</w:t>
      </w:r>
      <w:proofErr w:type="gramEnd"/>
      <w:r w:rsidRPr="003A03B4">
        <w:t xml:space="preserve"> from a CTE program.</w:t>
      </w:r>
    </w:p>
    <w:p w14:paraId="78C9A5D1" w14:textId="77777777" w:rsidR="003A03B4" w:rsidRPr="003A03B4" w:rsidRDefault="00EE0D71" w:rsidP="003A03B4">
      <w:r>
        <w:pict w14:anchorId="2C4392C8">
          <v:rect id="_x0000_i1025" style="width:0;height:1.5pt" o:hralign="center" o:hrstd="t" o:hr="t" fillcolor="#a0a0a0" stroked="f"/>
        </w:pict>
      </w:r>
    </w:p>
    <w:p w14:paraId="6AEB2FB8" w14:textId="77777777" w:rsidR="003A03B4" w:rsidRPr="003A03B4" w:rsidRDefault="003A03B4" w:rsidP="003A03B4">
      <w:pPr>
        <w:rPr>
          <w:b/>
          <w:bCs/>
        </w:rPr>
      </w:pPr>
      <w:r w:rsidRPr="003A03B4">
        <w:rPr>
          <w:b/>
          <w:bCs/>
        </w:rPr>
        <w:t>2P1 – Earned Recognized Postsecondary Credential</w:t>
      </w:r>
    </w:p>
    <w:p w14:paraId="5B929C27" w14:textId="77777777" w:rsidR="003A03B4" w:rsidRPr="003A03B4" w:rsidRDefault="003A03B4" w:rsidP="003A03B4">
      <w:r w:rsidRPr="003A03B4">
        <w:rPr>
          <w:b/>
          <w:bCs/>
        </w:rPr>
        <w:t>Definition:</w:t>
      </w:r>
      <w:r w:rsidRPr="003A03B4">
        <w:t xml:space="preserve"> Percentage of CTE Concentrators who earn a recognized postsecondary credential (certificate, diploma, and/or associate degree) during the reporting year.</w:t>
      </w:r>
    </w:p>
    <w:p w14:paraId="227D7D2E" w14:textId="77777777" w:rsidR="003A03B4" w:rsidRPr="003A03B4" w:rsidRDefault="003A03B4" w:rsidP="003A03B4">
      <w:r w:rsidRPr="003A03B4">
        <w:rPr>
          <w:b/>
          <w:bCs/>
        </w:rPr>
        <w:t>Numerator:</w:t>
      </w:r>
      <w:r w:rsidRPr="003A03B4">
        <w:t xml:space="preserve"> CTE Concentrators who receive a recognized credential during the reporting year.</w:t>
      </w:r>
    </w:p>
    <w:p w14:paraId="43380E99" w14:textId="77777777" w:rsidR="003A03B4" w:rsidRPr="003A03B4" w:rsidRDefault="003A03B4" w:rsidP="003A03B4">
      <w:r w:rsidRPr="003A03B4">
        <w:rPr>
          <w:b/>
          <w:bCs/>
        </w:rPr>
        <w:t>Denominator:</w:t>
      </w:r>
      <w:r w:rsidRPr="003A03B4">
        <w:t xml:space="preserve"> Non-inmate CTE Concentrators who:</w:t>
      </w:r>
    </w:p>
    <w:p w14:paraId="5894E8F5" w14:textId="77777777" w:rsidR="003A03B4" w:rsidRPr="003A03B4" w:rsidRDefault="003A03B4" w:rsidP="003A03B4">
      <w:pPr>
        <w:numPr>
          <w:ilvl w:val="0"/>
          <w:numId w:val="3"/>
        </w:numPr>
      </w:pPr>
      <w:r w:rsidRPr="003A03B4">
        <w:t>Completed at least one credit-level CTE course,</w:t>
      </w:r>
    </w:p>
    <w:p w14:paraId="63B9F5FD" w14:textId="77777777" w:rsidR="003A03B4" w:rsidRPr="003A03B4" w:rsidRDefault="003A03B4" w:rsidP="003A03B4">
      <w:pPr>
        <w:numPr>
          <w:ilvl w:val="0"/>
          <w:numId w:val="3"/>
        </w:numPr>
      </w:pPr>
      <w:r w:rsidRPr="003A03B4">
        <w:t>Earned 12 or more cumulative CTE credits, and</w:t>
      </w:r>
    </w:p>
    <w:p w14:paraId="701ED5D5" w14:textId="77777777" w:rsidR="003A03B4" w:rsidRPr="003A03B4" w:rsidRDefault="003A03B4" w:rsidP="003A03B4">
      <w:pPr>
        <w:numPr>
          <w:ilvl w:val="0"/>
          <w:numId w:val="3"/>
        </w:numPr>
      </w:pPr>
      <w:proofErr w:type="gramStart"/>
      <w:r w:rsidRPr="003A03B4">
        <w:t>Were</w:t>
      </w:r>
      <w:proofErr w:type="gramEnd"/>
      <w:r w:rsidRPr="003A03B4">
        <w:t xml:space="preserve"> enrolled in a CTE program during the reporting year.</w:t>
      </w:r>
    </w:p>
    <w:p w14:paraId="69FE2DEF" w14:textId="77777777" w:rsidR="003A03B4" w:rsidRPr="003A03B4" w:rsidRDefault="003A03B4" w:rsidP="003A03B4">
      <w:r w:rsidRPr="003A03B4">
        <w:rPr>
          <w:b/>
          <w:bCs/>
        </w:rPr>
        <w:t>Result Type Note:</w:t>
      </w:r>
      <w:r w:rsidRPr="003A03B4">
        <w:t xml:space="preserve"> Students are counted in only one category based on the highest credential earned (e.g., associate degree takes precedence over diploma or certificate).</w:t>
      </w:r>
    </w:p>
    <w:p w14:paraId="573516D8" w14:textId="77777777" w:rsidR="003A03B4" w:rsidRPr="003A03B4" w:rsidRDefault="00EE0D71" w:rsidP="003A03B4">
      <w:r>
        <w:pict w14:anchorId="3762C4D2">
          <v:rect id="_x0000_i1026" style="width:0;height:1.5pt" o:hralign="center" o:hrstd="t" o:hr="t" fillcolor="#a0a0a0" stroked="f"/>
        </w:pict>
      </w:r>
    </w:p>
    <w:p w14:paraId="2ABA4153" w14:textId="77777777" w:rsidR="003A03B4" w:rsidRPr="003A03B4" w:rsidRDefault="003A03B4" w:rsidP="003A03B4">
      <w:pPr>
        <w:rPr>
          <w:b/>
          <w:bCs/>
        </w:rPr>
      </w:pPr>
      <w:r w:rsidRPr="003A03B4">
        <w:rPr>
          <w:b/>
          <w:bCs/>
        </w:rPr>
        <w:t>3P1 – Nontraditional Program Concentration</w:t>
      </w:r>
    </w:p>
    <w:p w14:paraId="4668D35C" w14:textId="77777777" w:rsidR="003A03B4" w:rsidRPr="003A03B4" w:rsidRDefault="003A03B4" w:rsidP="003A03B4">
      <w:r w:rsidRPr="003A03B4">
        <w:rPr>
          <w:b/>
          <w:bCs/>
        </w:rPr>
        <w:t>Definition:</w:t>
      </w:r>
      <w:r w:rsidRPr="003A03B4">
        <w:t xml:space="preserve"> Percentage of CTE Concentrators in programs that are nontraditional for their gender (where less than 25% of workers in the field are of that gender).</w:t>
      </w:r>
    </w:p>
    <w:p w14:paraId="3E8151D4" w14:textId="77777777" w:rsidR="003A03B4" w:rsidRPr="003A03B4" w:rsidRDefault="003A03B4" w:rsidP="003A03B4">
      <w:r w:rsidRPr="003A03B4">
        <w:rPr>
          <w:b/>
          <w:bCs/>
        </w:rPr>
        <w:t>Numerator:</w:t>
      </w:r>
      <w:r w:rsidRPr="003A03B4">
        <w:t xml:space="preserve"> Nontraditional CTE Concentrators in programs where their gender is the minority.</w:t>
      </w:r>
    </w:p>
    <w:p w14:paraId="022D10F4" w14:textId="77777777" w:rsidR="003A03B4" w:rsidRPr="003A03B4" w:rsidRDefault="003A03B4" w:rsidP="003A03B4">
      <w:r w:rsidRPr="003A03B4">
        <w:rPr>
          <w:b/>
          <w:bCs/>
        </w:rPr>
        <w:t>Denominator:</w:t>
      </w:r>
      <w:r w:rsidRPr="003A03B4">
        <w:t xml:space="preserve"> CTE Concentrators in gender-nontraditional programs during the current reporting year.</w:t>
      </w:r>
    </w:p>
    <w:p w14:paraId="1E21DB0B" w14:textId="6DDCA1EB" w:rsidR="00A9638B" w:rsidRDefault="003A03B4">
      <w:r w:rsidRPr="003A03B4">
        <w:rPr>
          <w:b/>
          <w:bCs/>
        </w:rPr>
        <w:t>Reference:</w:t>
      </w:r>
      <w:r w:rsidRPr="003A03B4">
        <w:t xml:space="preserve"> Nontraditional fields are defined in Perkins V; NAPE maintains a crosswalk of such occupations.</w:t>
      </w:r>
    </w:p>
    <w:sectPr w:rsidR="00A9638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10918" w14:textId="77777777" w:rsidR="00EE0D71" w:rsidRDefault="00EE0D71" w:rsidP="00EE0D71">
      <w:pPr>
        <w:spacing w:after="0" w:line="240" w:lineRule="auto"/>
      </w:pPr>
      <w:r>
        <w:separator/>
      </w:r>
    </w:p>
  </w:endnote>
  <w:endnote w:type="continuationSeparator" w:id="0">
    <w:p w14:paraId="53D19639" w14:textId="77777777" w:rsidR="00EE0D71" w:rsidRDefault="00EE0D71" w:rsidP="00E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DD965" w14:textId="77777777" w:rsidR="00EE0D71" w:rsidRDefault="00EE0D71" w:rsidP="00EE0D71">
      <w:pPr>
        <w:spacing w:after="0" w:line="240" w:lineRule="auto"/>
      </w:pPr>
      <w:r>
        <w:separator/>
      </w:r>
    </w:p>
  </w:footnote>
  <w:footnote w:type="continuationSeparator" w:id="0">
    <w:p w14:paraId="5F6319A2" w14:textId="77777777" w:rsidR="00EE0D71" w:rsidRDefault="00EE0D71" w:rsidP="00E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B0D1" w14:textId="47488A86" w:rsidR="00EE0D71" w:rsidRDefault="00EE0D7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4F7129E" wp14:editId="55920C5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8E6F00F" w14:textId="7E520516" w:rsidR="00EE0D71" w:rsidRDefault="00EE0D7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perkins v core performance indicators-postsecondary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4F7129E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8E6F00F" w14:textId="7E520516" w:rsidR="00EE0D71" w:rsidRDefault="00EE0D7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perkins v core performance indicators-postsecondary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D1D44"/>
    <w:multiLevelType w:val="multilevel"/>
    <w:tmpl w:val="F1CE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B3D53"/>
    <w:multiLevelType w:val="multilevel"/>
    <w:tmpl w:val="9A52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E45E61"/>
    <w:multiLevelType w:val="multilevel"/>
    <w:tmpl w:val="F26A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341399">
    <w:abstractNumId w:val="0"/>
  </w:num>
  <w:num w:numId="2" w16cid:durableId="595746967">
    <w:abstractNumId w:val="1"/>
  </w:num>
  <w:num w:numId="3" w16cid:durableId="744381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B4"/>
    <w:rsid w:val="002E4C5D"/>
    <w:rsid w:val="003A03B4"/>
    <w:rsid w:val="004567D8"/>
    <w:rsid w:val="008200EC"/>
    <w:rsid w:val="008E1496"/>
    <w:rsid w:val="00A9638B"/>
    <w:rsid w:val="00DA1261"/>
    <w:rsid w:val="00E66894"/>
    <w:rsid w:val="00EB4C6A"/>
    <w:rsid w:val="00EE0D71"/>
    <w:rsid w:val="00F742F4"/>
    <w:rsid w:val="00FD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5E3E1"/>
  <w15:chartTrackingRefBased/>
  <w15:docId w15:val="{40A0AFFC-F65A-4DB1-BC40-830C2810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7D8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567D8"/>
    <w:pPr>
      <w:keepNext/>
      <w:keepLines/>
      <w:spacing w:before="360" w:after="80"/>
      <w:outlineLvl w:val="0"/>
    </w:pPr>
    <w:rPr>
      <w:rFonts w:ascii="Calibri" w:eastAsiaTheme="majorEastAsia" w:hAnsi="Calibr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567D8"/>
    <w:pPr>
      <w:keepNext/>
      <w:keepLines/>
      <w:spacing w:before="160" w:after="80"/>
      <w:outlineLvl w:val="1"/>
    </w:pPr>
    <w:rPr>
      <w:rFonts w:ascii="Calibri" w:eastAsiaTheme="majorEastAsia" w:hAnsi="Calibr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4567D8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3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3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3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3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3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3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4567D8"/>
    <w:pPr>
      <w:spacing w:after="80" w:line="240" w:lineRule="auto"/>
      <w:contextualSpacing/>
    </w:pPr>
    <w:rPr>
      <w:rFonts w:ascii="Calibri bold" w:eastAsiaTheme="majorEastAsia" w:hAnsi="Calibri bold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7D8"/>
    <w:rPr>
      <w:rFonts w:ascii="Calibri bold" w:eastAsiaTheme="majorEastAsia" w:hAnsi="Calibri bold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567D8"/>
    <w:rPr>
      <w:rFonts w:ascii="Calibri" w:eastAsiaTheme="majorEastAsia" w:hAnsi="Calibr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7D8"/>
    <w:rPr>
      <w:rFonts w:ascii="Calibri" w:eastAsiaTheme="majorEastAsia" w:hAnsi="Calibr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7D8"/>
    <w:rPr>
      <w:rFonts w:ascii="Calibri Light" w:eastAsiaTheme="majorEastAsia" w:hAnsi="Calibri Light" w:cstheme="majorBidi"/>
      <w:b/>
      <w:color w:val="0F476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4567D8"/>
    <w:rPr>
      <w:rFonts w:ascii="Calibri" w:hAnsi="Calibr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3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3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3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3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3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3B4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3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3B4"/>
    <w:rPr>
      <w:rFonts w:ascii="Calibri Light" w:hAnsi="Calibri Light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3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3B4"/>
    <w:rPr>
      <w:rFonts w:ascii="Calibri Light" w:hAnsi="Calibri Light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3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0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D71"/>
    <w:rPr>
      <w:rFonts w:ascii="Calibri Light" w:hAnsi="Calibri Light"/>
    </w:rPr>
  </w:style>
  <w:style w:type="paragraph" w:styleId="Footer">
    <w:name w:val="footer"/>
    <w:basedOn w:val="Normal"/>
    <w:link w:val="FooterChar"/>
    <w:uiPriority w:val="99"/>
    <w:unhideWhenUsed/>
    <w:rsid w:val="00EE0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D71"/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48569-d889-4cab-8fb7-f97de583ec0f" xsi:nil="true"/>
    <lcf76f155ced4ddcb4097134ff3c332f xmlns="072444cc-eec3-4352-8fcb-179150d177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35714A6A3754F99BA419DBF1BC9D6" ma:contentTypeVersion="16" ma:contentTypeDescription="Create a new document." ma:contentTypeScope="" ma:versionID="664cde8594d582eeff13f1480cd92bcc">
  <xsd:schema xmlns:xsd="http://www.w3.org/2001/XMLSchema" xmlns:xs="http://www.w3.org/2001/XMLSchema" xmlns:p="http://schemas.microsoft.com/office/2006/metadata/properties" xmlns:ns2="072444cc-eec3-4352-8fcb-179150d177a5" xmlns:ns3="a3648569-d889-4cab-8fb7-f97de583ec0f" targetNamespace="http://schemas.microsoft.com/office/2006/metadata/properties" ma:root="true" ma:fieldsID="b674f18b6b3392123abf8f30d1f9bfcb" ns2:_="" ns3:_="">
    <xsd:import namespace="072444cc-eec3-4352-8fcb-179150d177a5"/>
    <xsd:import namespace="a3648569-d889-4cab-8fb7-f97de583e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44cc-eec3-4352-8fcb-179150d17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410e6b-3f3a-46d5-b089-fcc12dc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48569-d889-4cab-8fb7-f97de583e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223b4f3-e477-4c24-8cf9-751aee7eab28}" ma:internalName="TaxCatchAll" ma:showField="CatchAllData" ma:web="a3648569-d889-4cab-8fb7-f97de583e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B2FDE2-D664-42B3-A335-33382C27E5A6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072444cc-eec3-4352-8fcb-179150d177a5"/>
    <ds:schemaRef ds:uri="a3648569-d889-4cab-8fb7-f97de583ec0f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19132B2-EC4B-486B-BACA-CA4E0E5456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50152-E2CE-4681-ACF0-5CC4CE642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44cc-eec3-4352-8fcb-179150d177a5"/>
    <ds:schemaRef ds:uri="a3648569-d889-4cab-8fb7-f97de583e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perkins v core performance indicators-postsecondary</dc:title>
  <dc:subject/>
  <dc:creator>Stefanie Schroeder</dc:creator>
  <cp:keywords/>
  <dc:description/>
  <cp:lastModifiedBy>Stefanie Schroeder</cp:lastModifiedBy>
  <cp:revision>3</cp:revision>
  <dcterms:created xsi:type="dcterms:W3CDTF">2025-08-13T19:15:00Z</dcterms:created>
  <dcterms:modified xsi:type="dcterms:W3CDTF">2025-08-15T17:18:00Z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0x01010051635714A6A3754F99BA419DBF1BC9D6</vt:lpwstr>
  </property>
  <property fmtid="{D5CDD505-2E9C-101B-9397-08002B2CF9AE}" pid="3" name="MediaServiceImageTags">
    <vt:lpwstr/>
  </property>
</Properties>
</file>