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3651" w14:textId="77777777" w:rsidR="00C370B2" w:rsidRPr="00C370B2" w:rsidRDefault="00C370B2" w:rsidP="00C370B2">
      <w:r w:rsidRPr="00C370B2">
        <w:t>The Comprehensive Local Needs Assessment (CLNA) is the foundation for all Perkins V-funded activities. It ensures that local Career and Technical Education (CTE) investments are data-driven, equitable, and aligned with workforce needs. The CLNA must be completed at least once every two years and directly informs the annual local plan and budget.</w:t>
      </w:r>
    </w:p>
    <w:p w14:paraId="7CCE211A" w14:textId="77777777" w:rsidR="00C370B2" w:rsidRPr="00C370B2" w:rsidRDefault="00C370B2" w:rsidP="00C370B2">
      <w:pPr>
        <w:rPr>
          <w:b/>
          <w:bCs/>
        </w:rPr>
      </w:pPr>
      <w:r w:rsidRPr="00C370B2">
        <w:rPr>
          <w:b/>
          <w:bCs/>
        </w:rPr>
        <w:t>Section 134 – Comprehensive Local Needs Assessment</w:t>
      </w:r>
    </w:p>
    <w:p w14:paraId="0AD8EAD2" w14:textId="77777777" w:rsidR="00C370B2" w:rsidRPr="00C370B2" w:rsidRDefault="00C370B2" w:rsidP="00C370B2">
      <w:pPr>
        <w:rPr>
          <w:b/>
          <w:bCs/>
        </w:rPr>
      </w:pPr>
      <w:r w:rsidRPr="00C370B2">
        <w:rPr>
          <w:b/>
          <w:bCs/>
        </w:rPr>
        <w:t>Who must complete it</w:t>
      </w:r>
    </w:p>
    <w:p w14:paraId="3EB51DE1" w14:textId="77777777" w:rsidR="00C370B2" w:rsidRPr="00C370B2" w:rsidRDefault="00C370B2" w:rsidP="00C370B2">
      <w:pPr>
        <w:numPr>
          <w:ilvl w:val="0"/>
          <w:numId w:val="5"/>
        </w:numPr>
      </w:pPr>
      <w:r w:rsidRPr="00C370B2">
        <w:t>Every eligible recipient (e.g., community college) receiving Perkins funds must complete a CLNA at least once every two years.</w:t>
      </w:r>
    </w:p>
    <w:p w14:paraId="4548254B" w14:textId="77777777" w:rsidR="00C370B2" w:rsidRPr="00C370B2" w:rsidRDefault="00C370B2" w:rsidP="00C370B2">
      <w:pPr>
        <w:numPr>
          <w:ilvl w:val="0"/>
          <w:numId w:val="5"/>
        </w:numPr>
      </w:pPr>
      <w:r w:rsidRPr="00C370B2">
        <w:t>The CLNA must be done before funds are spent and updated as needed to guide annual planning.</w:t>
      </w:r>
    </w:p>
    <w:p w14:paraId="48D1D571" w14:textId="77777777" w:rsidR="00C370B2" w:rsidRPr="00C370B2" w:rsidRDefault="00C370B2" w:rsidP="00C370B2">
      <w:pPr>
        <w:rPr>
          <w:b/>
          <w:bCs/>
        </w:rPr>
      </w:pPr>
      <w:r w:rsidRPr="00C370B2">
        <w:rPr>
          <w:b/>
          <w:bCs/>
        </w:rPr>
        <w:t>Purpose</w:t>
      </w:r>
    </w:p>
    <w:p w14:paraId="34F62D7D" w14:textId="77777777" w:rsidR="00C370B2" w:rsidRPr="00C370B2" w:rsidRDefault="00C370B2" w:rsidP="00C370B2">
      <w:pPr>
        <w:numPr>
          <w:ilvl w:val="0"/>
          <w:numId w:val="6"/>
        </w:numPr>
      </w:pPr>
      <w:r w:rsidRPr="00C370B2">
        <w:t>Provide a data-driven process to identify local strengths, gaps, and priorities in Career and Technical Education (CTE).</w:t>
      </w:r>
    </w:p>
    <w:p w14:paraId="633BDB4A" w14:textId="77777777" w:rsidR="00C370B2" w:rsidRPr="00C370B2" w:rsidRDefault="00C370B2" w:rsidP="00C370B2">
      <w:pPr>
        <w:numPr>
          <w:ilvl w:val="0"/>
          <w:numId w:val="6"/>
        </w:numPr>
      </w:pPr>
      <w:r w:rsidRPr="00C370B2">
        <w:t>Ensure Perkins investments align with student needs, workforce demands, and equity goals.</w:t>
      </w:r>
    </w:p>
    <w:p w14:paraId="04F136CA" w14:textId="77777777" w:rsidR="00C370B2" w:rsidRPr="00C370B2" w:rsidRDefault="00C370B2" w:rsidP="00C370B2">
      <w:pPr>
        <w:rPr>
          <w:b/>
          <w:bCs/>
        </w:rPr>
      </w:pPr>
      <w:r w:rsidRPr="00C370B2">
        <w:rPr>
          <w:b/>
          <w:bCs/>
        </w:rPr>
        <w:t>Required Review Areas</w:t>
      </w:r>
    </w:p>
    <w:p w14:paraId="34CF9F8D" w14:textId="77777777" w:rsidR="00C370B2" w:rsidRPr="00C370B2" w:rsidRDefault="00C370B2" w:rsidP="00C370B2">
      <w:r w:rsidRPr="00C370B2">
        <w:t>Recipients must evaluate and include data, analysis, and stakeholder input for:</w:t>
      </w:r>
    </w:p>
    <w:p w14:paraId="1C28B898" w14:textId="77777777" w:rsidR="00C370B2" w:rsidRPr="00C370B2" w:rsidRDefault="00C370B2" w:rsidP="00C370B2">
      <w:pPr>
        <w:numPr>
          <w:ilvl w:val="0"/>
          <w:numId w:val="7"/>
        </w:numPr>
      </w:pPr>
      <w:r w:rsidRPr="00C370B2">
        <w:rPr>
          <w:b/>
          <w:bCs/>
        </w:rPr>
        <w:t>Student Performance</w:t>
      </w:r>
    </w:p>
    <w:p w14:paraId="613E66EC" w14:textId="77777777" w:rsidR="00C370B2" w:rsidRPr="00C370B2" w:rsidRDefault="00C370B2" w:rsidP="00C370B2">
      <w:pPr>
        <w:numPr>
          <w:ilvl w:val="1"/>
          <w:numId w:val="7"/>
        </w:numPr>
      </w:pPr>
      <w:r w:rsidRPr="00C370B2">
        <w:t>Review Perkins performance indicators, disaggregated by special populations and subgroups.</w:t>
      </w:r>
    </w:p>
    <w:p w14:paraId="31FF656B" w14:textId="77777777" w:rsidR="00C370B2" w:rsidRPr="00C370B2" w:rsidRDefault="00C370B2" w:rsidP="00C370B2">
      <w:pPr>
        <w:numPr>
          <w:ilvl w:val="1"/>
          <w:numId w:val="7"/>
        </w:numPr>
      </w:pPr>
      <w:r w:rsidRPr="00C370B2">
        <w:t>Identify performance and equity gaps.</w:t>
      </w:r>
    </w:p>
    <w:p w14:paraId="2DE2931D" w14:textId="77777777" w:rsidR="00C370B2" w:rsidRPr="00C370B2" w:rsidRDefault="00C370B2" w:rsidP="00C370B2">
      <w:pPr>
        <w:numPr>
          <w:ilvl w:val="0"/>
          <w:numId w:val="7"/>
        </w:numPr>
      </w:pPr>
      <w:r w:rsidRPr="00C370B2">
        <w:rPr>
          <w:b/>
          <w:bCs/>
        </w:rPr>
        <w:t>Size, Scope, and Quality of Programs</w:t>
      </w:r>
    </w:p>
    <w:p w14:paraId="68327FD2" w14:textId="77777777" w:rsidR="00C370B2" w:rsidRPr="00C370B2" w:rsidRDefault="00C370B2" w:rsidP="00C370B2">
      <w:pPr>
        <w:numPr>
          <w:ilvl w:val="1"/>
          <w:numId w:val="7"/>
        </w:numPr>
      </w:pPr>
      <w:r w:rsidRPr="00C370B2">
        <w:t>Determine if programs meet state-defined quality standards and have sufficient enrollment and resources.</w:t>
      </w:r>
    </w:p>
    <w:p w14:paraId="745E95A5" w14:textId="77777777" w:rsidR="00C370B2" w:rsidRPr="00C370B2" w:rsidRDefault="00C370B2" w:rsidP="00C370B2">
      <w:pPr>
        <w:numPr>
          <w:ilvl w:val="0"/>
          <w:numId w:val="7"/>
        </w:numPr>
      </w:pPr>
      <w:r w:rsidRPr="00C370B2">
        <w:rPr>
          <w:b/>
          <w:bCs/>
        </w:rPr>
        <w:t>Labor Market Alignment</w:t>
      </w:r>
    </w:p>
    <w:p w14:paraId="6B9FCC88" w14:textId="77777777" w:rsidR="00C370B2" w:rsidRPr="00C370B2" w:rsidRDefault="00C370B2" w:rsidP="00C370B2">
      <w:pPr>
        <w:numPr>
          <w:ilvl w:val="1"/>
          <w:numId w:val="7"/>
        </w:numPr>
      </w:pPr>
      <w:r w:rsidRPr="00C370B2">
        <w:t>Use labor market data to confirm programs align with high-skill, high-wage, or in-demand occupations.</w:t>
      </w:r>
    </w:p>
    <w:p w14:paraId="6C766554" w14:textId="77777777" w:rsidR="00C370B2" w:rsidRPr="00C370B2" w:rsidRDefault="00C370B2" w:rsidP="00C370B2">
      <w:pPr>
        <w:numPr>
          <w:ilvl w:val="0"/>
          <w:numId w:val="7"/>
        </w:numPr>
      </w:pPr>
      <w:r w:rsidRPr="00C370B2">
        <w:rPr>
          <w:b/>
          <w:bCs/>
        </w:rPr>
        <w:t>Programs of Study</w:t>
      </w:r>
    </w:p>
    <w:p w14:paraId="151A4553" w14:textId="77777777" w:rsidR="00C370B2" w:rsidRPr="00C370B2" w:rsidRDefault="00C370B2" w:rsidP="00C370B2">
      <w:pPr>
        <w:numPr>
          <w:ilvl w:val="1"/>
          <w:numId w:val="7"/>
        </w:numPr>
      </w:pPr>
      <w:r w:rsidRPr="00C370B2">
        <w:t>Assess progress toward full programs of study (and their rigor and relevance).</w:t>
      </w:r>
    </w:p>
    <w:p w14:paraId="2BE233BB" w14:textId="77777777" w:rsidR="00C370B2" w:rsidRPr="00C370B2" w:rsidRDefault="00C370B2" w:rsidP="00C370B2">
      <w:pPr>
        <w:numPr>
          <w:ilvl w:val="0"/>
          <w:numId w:val="7"/>
        </w:numPr>
      </w:pPr>
      <w:r w:rsidRPr="00C370B2">
        <w:rPr>
          <w:b/>
          <w:bCs/>
        </w:rPr>
        <w:t>Recruitment, Retention, and Professional Development of Faculty and Staff</w:t>
      </w:r>
    </w:p>
    <w:p w14:paraId="1FE757B7" w14:textId="77777777" w:rsidR="00C370B2" w:rsidRPr="00C370B2" w:rsidRDefault="00C370B2" w:rsidP="00C370B2">
      <w:pPr>
        <w:numPr>
          <w:ilvl w:val="1"/>
          <w:numId w:val="7"/>
        </w:numPr>
      </w:pPr>
      <w:r w:rsidRPr="00C370B2">
        <w:t>Identify needs and gaps in CTE educator hiring, retention, and training.</w:t>
      </w:r>
    </w:p>
    <w:p w14:paraId="091CC59A" w14:textId="77777777" w:rsidR="00C370B2" w:rsidRPr="00C370B2" w:rsidRDefault="00C370B2" w:rsidP="00C370B2">
      <w:pPr>
        <w:numPr>
          <w:ilvl w:val="0"/>
          <w:numId w:val="7"/>
        </w:numPr>
      </w:pPr>
      <w:r w:rsidRPr="00C370B2">
        <w:rPr>
          <w:b/>
          <w:bCs/>
        </w:rPr>
        <w:t>Access and Equity</w:t>
      </w:r>
    </w:p>
    <w:p w14:paraId="2FD54850" w14:textId="77777777" w:rsidR="00C370B2" w:rsidRPr="00C370B2" w:rsidRDefault="00C370B2" w:rsidP="00C370B2">
      <w:pPr>
        <w:numPr>
          <w:ilvl w:val="1"/>
          <w:numId w:val="7"/>
        </w:numPr>
      </w:pPr>
      <w:r w:rsidRPr="00C370B2">
        <w:t>Evaluate strategies to increase access for special populations and reduce barriers.</w:t>
      </w:r>
    </w:p>
    <w:p w14:paraId="2443F4B7" w14:textId="77777777" w:rsidR="00C370B2" w:rsidRPr="00C370B2" w:rsidRDefault="009C6270" w:rsidP="00C370B2">
      <w:r>
        <w:pict w14:anchorId="41302580">
          <v:rect id="_x0000_i1029" style="width:0;height:1.5pt" o:hralign="center" o:hrstd="t" o:hr="t" fillcolor="#a0a0a0" stroked="f"/>
        </w:pict>
      </w:r>
    </w:p>
    <w:p w14:paraId="5E0FC72D" w14:textId="77777777" w:rsidR="00C370B2" w:rsidRPr="00C370B2" w:rsidRDefault="00C370B2" w:rsidP="00C370B2">
      <w:pPr>
        <w:rPr>
          <w:b/>
          <w:bCs/>
        </w:rPr>
      </w:pPr>
      <w:r w:rsidRPr="00C370B2">
        <w:rPr>
          <w:b/>
          <w:bCs/>
        </w:rPr>
        <w:lastRenderedPageBreak/>
        <w:t>Stakeholder Engagement</w:t>
      </w:r>
    </w:p>
    <w:p w14:paraId="1E58FA1E" w14:textId="77777777" w:rsidR="00C370B2" w:rsidRPr="00C370B2" w:rsidRDefault="00C370B2" w:rsidP="00C370B2">
      <w:r w:rsidRPr="00C370B2">
        <w:t>Colleges must actively consult with:</w:t>
      </w:r>
    </w:p>
    <w:p w14:paraId="56801289" w14:textId="77777777" w:rsidR="00C370B2" w:rsidRPr="00C370B2" w:rsidRDefault="00C370B2" w:rsidP="00C370B2">
      <w:pPr>
        <w:numPr>
          <w:ilvl w:val="0"/>
          <w:numId w:val="8"/>
        </w:numPr>
      </w:pPr>
      <w:r w:rsidRPr="00C370B2">
        <w:t>Educators, administrators, and counselors</w:t>
      </w:r>
    </w:p>
    <w:p w14:paraId="0A53F01C" w14:textId="77777777" w:rsidR="00C370B2" w:rsidRPr="00C370B2" w:rsidRDefault="00C370B2" w:rsidP="00C370B2">
      <w:pPr>
        <w:numPr>
          <w:ilvl w:val="0"/>
          <w:numId w:val="8"/>
        </w:numPr>
      </w:pPr>
      <w:r w:rsidRPr="00C370B2">
        <w:t>Students and parents</w:t>
      </w:r>
    </w:p>
    <w:p w14:paraId="512F0995" w14:textId="77777777" w:rsidR="00C370B2" w:rsidRPr="00C370B2" w:rsidRDefault="00C370B2" w:rsidP="00C370B2">
      <w:pPr>
        <w:numPr>
          <w:ilvl w:val="0"/>
          <w:numId w:val="8"/>
        </w:numPr>
      </w:pPr>
      <w:r w:rsidRPr="00C370B2">
        <w:t>Representatives of special populations</w:t>
      </w:r>
    </w:p>
    <w:p w14:paraId="148F87CD" w14:textId="77777777" w:rsidR="00C370B2" w:rsidRPr="00C370B2" w:rsidRDefault="00C370B2" w:rsidP="00C370B2">
      <w:pPr>
        <w:numPr>
          <w:ilvl w:val="0"/>
          <w:numId w:val="8"/>
        </w:numPr>
      </w:pPr>
      <w:r w:rsidRPr="00C370B2">
        <w:t>Workforce development boards and industry partners</w:t>
      </w:r>
    </w:p>
    <w:p w14:paraId="615981D0" w14:textId="77777777" w:rsidR="00C370B2" w:rsidRPr="00C370B2" w:rsidRDefault="00C370B2" w:rsidP="00C370B2">
      <w:pPr>
        <w:numPr>
          <w:ilvl w:val="0"/>
          <w:numId w:val="8"/>
        </w:numPr>
      </w:pPr>
      <w:r w:rsidRPr="00C370B2">
        <w:t>Community-based organizations</w:t>
      </w:r>
    </w:p>
    <w:p w14:paraId="461352D0" w14:textId="77777777" w:rsidR="00C370B2" w:rsidRPr="00C370B2" w:rsidRDefault="00C370B2" w:rsidP="00C370B2">
      <w:pPr>
        <w:rPr>
          <w:b/>
          <w:bCs/>
        </w:rPr>
      </w:pPr>
      <w:r w:rsidRPr="00C370B2">
        <w:rPr>
          <w:b/>
          <w:bCs/>
        </w:rPr>
        <w:t>Use of CLNA Results</w:t>
      </w:r>
    </w:p>
    <w:p w14:paraId="6E5CD3BF" w14:textId="4DAA621B" w:rsidR="00C370B2" w:rsidRPr="00C370B2" w:rsidRDefault="00C370B2" w:rsidP="00C370B2">
      <w:pPr>
        <w:numPr>
          <w:ilvl w:val="0"/>
          <w:numId w:val="9"/>
        </w:numPr>
      </w:pPr>
      <w:r w:rsidRPr="00C370B2">
        <w:t xml:space="preserve">Findings from the CLNA must directly shape the </w:t>
      </w:r>
      <w:r w:rsidRPr="00C370B2">
        <w:rPr>
          <w:b/>
          <w:bCs/>
        </w:rPr>
        <w:t xml:space="preserve">local </w:t>
      </w:r>
      <w:r>
        <w:rPr>
          <w:b/>
          <w:bCs/>
        </w:rPr>
        <w:t>plan</w:t>
      </w:r>
      <w:r w:rsidRPr="00C370B2">
        <w:t xml:space="preserve"> for Perkins funds.</w:t>
      </w:r>
    </w:p>
    <w:p w14:paraId="7A342C96" w14:textId="77777777" w:rsidR="00C370B2" w:rsidRPr="00C370B2" w:rsidRDefault="00C370B2" w:rsidP="00C370B2">
      <w:pPr>
        <w:numPr>
          <w:ilvl w:val="0"/>
          <w:numId w:val="9"/>
        </w:numPr>
      </w:pPr>
      <w:r w:rsidRPr="00C370B2">
        <w:t>Perkins-funded activities must address the gaps and priorities identified in the CLNA.</w:t>
      </w:r>
    </w:p>
    <w:p w14:paraId="4BF0E8B9" w14:textId="77777777" w:rsidR="00A9638B" w:rsidRDefault="00A9638B"/>
    <w:p w14:paraId="346F2DAC" w14:textId="77777777" w:rsidR="009C6270" w:rsidRDefault="009C6270"/>
    <w:p w14:paraId="0778AA6A" w14:textId="07A185D9" w:rsidR="009C6270" w:rsidRDefault="009C6270">
      <w:r>
        <w:t>Last updated on 08/15/2025</w:t>
      </w:r>
    </w:p>
    <w:sectPr w:rsidR="009C627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A5C5F" w14:textId="77777777" w:rsidR="009C6270" w:rsidRDefault="009C6270" w:rsidP="009C6270">
      <w:pPr>
        <w:spacing w:after="0" w:line="240" w:lineRule="auto"/>
      </w:pPr>
      <w:r>
        <w:separator/>
      </w:r>
    </w:p>
  </w:endnote>
  <w:endnote w:type="continuationSeparator" w:id="0">
    <w:p w14:paraId="5744573D" w14:textId="77777777" w:rsidR="009C6270" w:rsidRDefault="009C6270" w:rsidP="009C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1E770" w14:textId="77777777" w:rsidR="009C6270" w:rsidRDefault="009C6270" w:rsidP="009C6270">
      <w:pPr>
        <w:spacing w:after="0" w:line="240" w:lineRule="auto"/>
      </w:pPr>
      <w:r>
        <w:separator/>
      </w:r>
    </w:p>
  </w:footnote>
  <w:footnote w:type="continuationSeparator" w:id="0">
    <w:p w14:paraId="6B6D4D0F" w14:textId="77777777" w:rsidR="009C6270" w:rsidRDefault="009C6270" w:rsidP="009C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D5C3" w14:textId="3B345E94" w:rsidR="009C6270" w:rsidRDefault="009C627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31D39E4" wp14:editId="7342CFC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BF15469" w14:textId="1D0075F4" w:rsidR="009C6270" w:rsidRDefault="009C627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9C6270">
                                <w:rPr>
                                  <w:b/>
                                  <w:bCs/>
                                </w:rPr>
                                <w:t>Perkins V Section 134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31D39E4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BF15469" w14:textId="1D0075F4" w:rsidR="009C6270" w:rsidRDefault="009C627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9C6270">
                          <w:rPr>
                            <w:b/>
                            <w:bCs/>
                          </w:rPr>
                          <w:t>Perkins V Section 134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0767E"/>
    <w:multiLevelType w:val="multilevel"/>
    <w:tmpl w:val="1B52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7004B"/>
    <w:multiLevelType w:val="multilevel"/>
    <w:tmpl w:val="D80C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D5C2D"/>
    <w:multiLevelType w:val="multilevel"/>
    <w:tmpl w:val="E71C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74D02"/>
    <w:multiLevelType w:val="multilevel"/>
    <w:tmpl w:val="008A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554CF"/>
    <w:multiLevelType w:val="multilevel"/>
    <w:tmpl w:val="B196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04043"/>
    <w:multiLevelType w:val="multilevel"/>
    <w:tmpl w:val="12D0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2951CB"/>
    <w:multiLevelType w:val="multilevel"/>
    <w:tmpl w:val="3EC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3721C"/>
    <w:multiLevelType w:val="multilevel"/>
    <w:tmpl w:val="CEC0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0957C3"/>
    <w:multiLevelType w:val="multilevel"/>
    <w:tmpl w:val="5164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462580">
    <w:abstractNumId w:val="0"/>
  </w:num>
  <w:num w:numId="2" w16cid:durableId="1183739642">
    <w:abstractNumId w:val="7"/>
  </w:num>
  <w:num w:numId="3" w16cid:durableId="490491953">
    <w:abstractNumId w:val="2"/>
  </w:num>
  <w:num w:numId="4" w16cid:durableId="933901377">
    <w:abstractNumId w:val="1"/>
  </w:num>
  <w:num w:numId="5" w16cid:durableId="1368917578">
    <w:abstractNumId w:val="6"/>
  </w:num>
  <w:num w:numId="6" w16cid:durableId="138304906">
    <w:abstractNumId w:val="8"/>
  </w:num>
  <w:num w:numId="7" w16cid:durableId="1289043813">
    <w:abstractNumId w:val="3"/>
  </w:num>
  <w:num w:numId="8" w16cid:durableId="160314529">
    <w:abstractNumId w:val="5"/>
  </w:num>
  <w:num w:numId="9" w16cid:durableId="1588533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B2"/>
    <w:rsid w:val="002E4C5D"/>
    <w:rsid w:val="004567D8"/>
    <w:rsid w:val="005D7DD3"/>
    <w:rsid w:val="008200EC"/>
    <w:rsid w:val="008E1496"/>
    <w:rsid w:val="009C6270"/>
    <w:rsid w:val="00A9638B"/>
    <w:rsid w:val="00C370B2"/>
    <w:rsid w:val="00E66894"/>
    <w:rsid w:val="00EB4C6A"/>
    <w:rsid w:val="00F7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E2B34"/>
  <w15:chartTrackingRefBased/>
  <w15:docId w15:val="{EF572DE2-F013-4A96-8D69-A4ABF324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7D8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567D8"/>
    <w:pPr>
      <w:keepNext/>
      <w:keepLines/>
      <w:spacing w:before="360" w:after="80"/>
      <w:outlineLvl w:val="0"/>
    </w:pPr>
    <w:rPr>
      <w:rFonts w:ascii="Calibri" w:eastAsiaTheme="majorEastAsia" w:hAnsi="Calibr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567D8"/>
    <w:pPr>
      <w:keepNext/>
      <w:keepLines/>
      <w:spacing w:before="160" w:after="80"/>
      <w:outlineLvl w:val="1"/>
    </w:pPr>
    <w:rPr>
      <w:rFonts w:ascii="Calibri" w:eastAsiaTheme="majorEastAsia" w:hAnsi="Calibr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4567D8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0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0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0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0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0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0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567D8"/>
    <w:pPr>
      <w:spacing w:after="80" w:line="240" w:lineRule="auto"/>
      <w:contextualSpacing/>
    </w:pPr>
    <w:rPr>
      <w:rFonts w:ascii="Calibri bold" w:eastAsiaTheme="majorEastAsia" w:hAnsi="Calibri bold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7D8"/>
    <w:rPr>
      <w:rFonts w:ascii="Calibri bold" w:eastAsiaTheme="majorEastAsia" w:hAnsi="Calibri bold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67D8"/>
    <w:rPr>
      <w:rFonts w:ascii="Calibri" w:eastAsiaTheme="majorEastAsia" w:hAnsi="Calibr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7D8"/>
    <w:rPr>
      <w:rFonts w:ascii="Calibri" w:eastAsiaTheme="majorEastAsia" w:hAnsi="Calibr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7D8"/>
    <w:rPr>
      <w:rFonts w:ascii="Calibri Light" w:eastAsiaTheme="majorEastAsia" w:hAnsi="Calibri Light" w:cstheme="majorBidi"/>
      <w:b/>
      <w:color w:val="0F476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4567D8"/>
    <w:rPr>
      <w:rFonts w:ascii="Calibri" w:hAnsi="Calibr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0B2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0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0B2"/>
    <w:rPr>
      <w:rFonts w:ascii="Calibri Light" w:hAnsi="Calibri Light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0B2"/>
    <w:rPr>
      <w:rFonts w:ascii="Calibri Light" w:hAnsi="Calibri Light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0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6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270"/>
    <w:rPr>
      <w:rFonts w:ascii="Calibri Light" w:hAnsi="Calibri Light"/>
    </w:rPr>
  </w:style>
  <w:style w:type="paragraph" w:styleId="Footer">
    <w:name w:val="footer"/>
    <w:basedOn w:val="Normal"/>
    <w:link w:val="FooterChar"/>
    <w:uiPriority w:val="99"/>
    <w:unhideWhenUsed/>
    <w:rsid w:val="009C6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270"/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48569-d889-4cab-8fb7-f97de583ec0f" xsi:nil="true"/>
    <lcf76f155ced4ddcb4097134ff3c332f xmlns="072444cc-eec3-4352-8fcb-179150d177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35714A6A3754F99BA419DBF1BC9D6" ma:contentTypeVersion="16" ma:contentTypeDescription="Create a new document." ma:contentTypeScope="" ma:versionID="664cde8594d582eeff13f1480cd92bcc">
  <xsd:schema xmlns:xsd="http://www.w3.org/2001/XMLSchema" xmlns:xs="http://www.w3.org/2001/XMLSchema" xmlns:p="http://schemas.microsoft.com/office/2006/metadata/properties" xmlns:ns2="072444cc-eec3-4352-8fcb-179150d177a5" xmlns:ns3="a3648569-d889-4cab-8fb7-f97de583ec0f" targetNamespace="http://schemas.microsoft.com/office/2006/metadata/properties" ma:root="true" ma:fieldsID="b674f18b6b3392123abf8f30d1f9bfcb" ns2:_="" ns3:_="">
    <xsd:import namespace="072444cc-eec3-4352-8fcb-179150d177a5"/>
    <xsd:import namespace="a3648569-d889-4cab-8fb7-f97de583e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44cc-eec3-4352-8fcb-179150d17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410e6b-3f3a-46d5-b089-fcc12dc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48569-d889-4cab-8fb7-f97de583e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223b4f3-e477-4c24-8cf9-751aee7eab28}" ma:internalName="TaxCatchAll" ma:showField="CatchAllData" ma:web="a3648569-d889-4cab-8fb7-f97de583e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2A8979-4A6E-4340-B93E-5032694AD568}">
  <ds:schemaRefs>
    <ds:schemaRef ds:uri="072444cc-eec3-4352-8fcb-179150d177a5"/>
    <ds:schemaRef ds:uri="a3648569-d889-4cab-8fb7-f97de583ec0f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525E6FA-08DD-41FB-ACFC-7C9DBE2EA7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6A20D-D901-41F3-A00B-C3E76803E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44cc-eec3-4352-8fcb-179150d177a5"/>
    <ds:schemaRef ds:uri="a3648569-d889-4cab-8fb7-f97de583e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Perkins V Section 134</dc:title>
  <dc:subject/>
  <dc:creator>Stefanie Schroeder</dc:creator>
  <cp:keywords/>
  <dc:description/>
  <cp:lastModifiedBy>Stefanie Schroeder</cp:lastModifiedBy>
  <cp:revision>2</cp:revision>
  <dcterms:created xsi:type="dcterms:W3CDTF">2025-08-13T18:18:00Z</dcterms:created>
  <dcterms:modified xsi:type="dcterms:W3CDTF">2025-08-15T17:20:00Z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0x01010051635714A6A3754F99BA419DBF1BC9D6</vt:lpwstr>
  </property>
  <property fmtid="{D5CDD505-2E9C-101B-9397-08002B2CF9AE}" pid="3" name="MediaServiceImageTags">
    <vt:lpwstr/>
  </property>
</Properties>
</file>